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65" w:rsidRPr="001F4865" w:rsidRDefault="001F4865" w:rsidP="001F4865">
      <w:pPr>
        <w:spacing w:after="0"/>
        <w:jc w:val="center"/>
        <w:rPr>
          <w:rFonts w:ascii="Arial" w:hAnsi="Arial" w:cs="Arial"/>
          <w:sz w:val="28"/>
          <w:szCs w:val="28"/>
        </w:rPr>
      </w:pPr>
      <w:r w:rsidRPr="001F4865">
        <w:rPr>
          <w:rFonts w:ascii="Arial" w:hAnsi="Arial" w:cs="Arial"/>
          <w:sz w:val="28"/>
          <w:szCs w:val="28"/>
        </w:rPr>
        <w:t>Elementos para la Discusión Programática</w:t>
      </w:r>
      <w:r w:rsidR="002576AC">
        <w:rPr>
          <w:rFonts w:ascii="Arial" w:hAnsi="Arial" w:cs="Arial"/>
          <w:sz w:val="28"/>
          <w:szCs w:val="28"/>
        </w:rPr>
        <w:t>:</w:t>
      </w:r>
    </w:p>
    <w:p w:rsidR="001F4865" w:rsidRDefault="002576AC" w:rsidP="001F4865">
      <w:pPr>
        <w:spacing w:after="0"/>
        <w:jc w:val="center"/>
        <w:rPr>
          <w:rFonts w:ascii="Arial" w:hAnsi="Arial" w:cs="Arial"/>
          <w:sz w:val="28"/>
          <w:szCs w:val="28"/>
        </w:rPr>
      </w:pPr>
      <w:r>
        <w:rPr>
          <w:rFonts w:ascii="Arial" w:hAnsi="Arial" w:cs="Arial"/>
          <w:sz w:val="28"/>
          <w:szCs w:val="28"/>
        </w:rPr>
        <w:t xml:space="preserve">Hacia </w:t>
      </w:r>
      <w:r w:rsidR="001F4865" w:rsidRPr="001F4865">
        <w:rPr>
          <w:rFonts w:ascii="Arial" w:hAnsi="Arial" w:cs="Arial"/>
          <w:sz w:val="28"/>
          <w:szCs w:val="28"/>
        </w:rPr>
        <w:t>una Política Nacional del Cobre</w:t>
      </w:r>
    </w:p>
    <w:p w:rsidR="00873A1A" w:rsidRDefault="00873A1A" w:rsidP="001F4865">
      <w:pPr>
        <w:spacing w:after="0"/>
        <w:jc w:val="center"/>
        <w:rPr>
          <w:rFonts w:ascii="Arial" w:hAnsi="Arial" w:cs="Arial"/>
          <w:sz w:val="28"/>
          <w:szCs w:val="28"/>
        </w:rPr>
      </w:pPr>
    </w:p>
    <w:p w:rsidR="00873A1A" w:rsidRPr="00873A1A" w:rsidRDefault="00873A1A" w:rsidP="00873A1A">
      <w:pPr>
        <w:spacing w:after="0"/>
        <w:jc w:val="right"/>
        <w:rPr>
          <w:rFonts w:ascii="Arial" w:hAnsi="Arial" w:cs="Arial"/>
          <w:b/>
          <w:i/>
          <w:sz w:val="24"/>
          <w:szCs w:val="24"/>
        </w:rPr>
      </w:pPr>
      <w:r w:rsidRPr="00873A1A">
        <w:rPr>
          <w:rFonts w:ascii="Arial" w:hAnsi="Arial" w:cs="Arial"/>
          <w:b/>
          <w:i/>
          <w:sz w:val="24"/>
          <w:szCs w:val="24"/>
        </w:rPr>
        <w:t>Francisco Herreros</w:t>
      </w:r>
      <w:r>
        <w:rPr>
          <w:rFonts w:ascii="Arial" w:hAnsi="Arial" w:cs="Arial"/>
          <w:b/>
          <w:i/>
          <w:sz w:val="24"/>
          <w:szCs w:val="24"/>
        </w:rPr>
        <w:t xml:space="preserve"> (*)</w:t>
      </w:r>
    </w:p>
    <w:p w:rsidR="001F4865" w:rsidRPr="001F4865" w:rsidRDefault="001F4865" w:rsidP="001F4865">
      <w:pPr>
        <w:spacing w:after="0"/>
        <w:jc w:val="center"/>
        <w:rPr>
          <w:rFonts w:ascii="Arial" w:hAnsi="Arial" w:cs="Arial"/>
          <w:sz w:val="28"/>
          <w:szCs w:val="28"/>
        </w:rPr>
      </w:pPr>
    </w:p>
    <w:p w:rsidR="004D5920" w:rsidRPr="003662FB" w:rsidRDefault="007C2AB2">
      <w:pPr>
        <w:rPr>
          <w:rFonts w:ascii="Arial" w:hAnsi="Arial" w:cs="Arial"/>
          <w:sz w:val="24"/>
          <w:szCs w:val="24"/>
        </w:rPr>
      </w:pPr>
      <w:r w:rsidRPr="003662FB">
        <w:rPr>
          <w:rFonts w:ascii="Arial" w:hAnsi="Arial" w:cs="Arial"/>
          <w:sz w:val="24"/>
          <w:szCs w:val="24"/>
        </w:rPr>
        <w:t xml:space="preserve">Para calibrar la magnitud del crimen de lesa patria, perpetrado con la segunda desnacionalización del cobre, este primer informe se vale de una serie de indicadores comparados, con base en el último anuario estadístico de </w:t>
      </w:r>
      <w:proofErr w:type="spellStart"/>
      <w:r w:rsidRPr="003662FB">
        <w:rPr>
          <w:rFonts w:ascii="Arial" w:hAnsi="Arial" w:cs="Arial"/>
          <w:sz w:val="24"/>
          <w:szCs w:val="24"/>
        </w:rPr>
        <w:t>Cochilco</w:t>
      </w:r>
      <w:proofErr w:type="spellEnd"/>
      <w:r w:rsidRPr="003662FB">
        <w:rPr>
          <w:rFonts w:ascii="Arial" w:hAnsi="Arial" w:cs="Arial"/>
          <w:sz w:val="24"/>
          <w:szCs w:val="24"/>
        </w:rPr>
        <w:t xml:space="preserve">, correspondiente al año 2015. </w:t>
      </w:r>
    </w:p>
    <w:p w:rsidR="00BF2A70" w:rsidRPr="003662FB" w:rsidRDefault="007C2AB2" w:rsidP="00BF2A70">
      <w:pPr>
        <w:rPr>
          <w:rFonts w:ascii="Arial" w:eastAsia="Times New Roman" w:hAnsi="Arial" w:cs="Arial"/>
          <w:color w:val="000000"/>
          <w:sz w:val="24"/>
          <w:szCs w:val="24"/>
          <w:lang w:eastAsia="es-CL"/>
        </w:rPr>
      </w:pPr>
      <w:r w:rsidRPr="003662FB">
        <w:rPr>
          <w:rFonts w:ascii="Arial" w:hAnsi="Arial" w:cs="Arial"/>
          <w:sz w:val="24"/>
          <w:szCs w:val="24"/>
        </w:rPr>
        <w:t xml:space="preserve">Así, por ejemplo, en los casi veinte años comprendidos entre 1996 y 2015, el sector de la Gran Minería del cobre, en su mayor parte de origen transnacional, </w:t>
      </w:r>
      <w:r w:rsidR="00BF2A70" w:rsidRPr="003662FB">
        <w:rPr>
          <w:rFonts w:ascii="Arial" w:hAnsi="Arial" w:cs="Arial"/>
          <w:sz w:val="24"/>
          <w:szCs w:val="24"/>
        </w:rPr>
        <w:t xml:space="preserve">produjo </w:t>
      </w:r>
      <w:r w:rsidR="00BF2A70" w:rsidRPr="003662FB">
        <w:rPr>
          <w:rFonts w:ascii="Arial" w:eastAsia="Times New Roman" w:hAnsi="Arial" w:cs="Arial"/>
          <w:color w:val="000000"/>
          <w:sz w:val="24"/>
          <w:szCs w:val="24"/>
          <w:lang w:eastAsia="es-CL"/>
        </w:rPr>
        <w:t>67.651,9 millones de Toneladas Métricas de cobre, y tributó US$ 40.441,2 millones.</w:t>
      </w:r>
    </w:p>
    <w:p w:rsidR="00BF2A70" w:rsidRPr="003662FB" w:rsidRDefault="00BF2A70" w:rsidP="00BF2A70">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En el mismo período, Codelco produjo 33.589,2 millones de TM, y entregó excedentes por US$ 59.157,9 millones.</w:t>
      </w:r>
    </w:p>
    <w:p w:rsidR="00BF2A70" w:rsidRPr="003662FB" w:rsidRDefault="00BF2A70" w:rsidP="00BF2A70">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 xml:space="preserve">En </w:t>
      </w:r>
      <w:r w:rsidR="00333885">
        <w:rPr>
          <w:rFonts w:ascii="Arial" w:eastAsia="Times New Roman" w:hAnsi="Arial" w:cs="Arial"/>
          <w:color w:val="000000"/>
          <w:sz w:val="24"/>
          <w:szCs w:val="24"/>
          <w:lang w:eastAsia="es-CL"/>
        </w:rPr>
        <w:t xml:space="preserve">otras palabras, </w:t>
      </w:r>
      <w:r w:rsidRPr="003662FB">
        <w:rPr>
          <w:rFonts w:ascii="Arial" w:eastAsia="Times New Roman" w:hAnsi="Arial" w:cs="Arial"/>
          <w:color w:val="000000"/>
          <w:sz w:val="24"/>
          <w:szCs w:val="24"/>
          <w:lang w:eastAsia="es-CL"/>
        </w:rPr>
        <w:t xml:space="preserve">con el 67.6% de la producción, el sector de la Gran Minería del cobre aportó el 40,6% de la tributación. </w:t>
      </w:r>
    </w:p>
    <w:p w:rsidR="00F7174F" w:rsidRPr="003662FB" w:rsidRDefault="00F7174F" w:rsidP="00F7174F">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 xml:space="preserve">A la inversa, con el 33,5% de la producción, Codelco, aun con sus lastres de la Ley Reservada del Cobre, y los altos costos asociados a las bajas leyes de sus </w:t>
      </w:r>
      <w:proofErr w:type="gramStart"/>
      <w:r w:rsidRPr="003662FB">
        <w:rPr>
          <w:rFonts w:ascii="Arial" w:eastAsia="Times New Roman" w:hAnsi="Arial" w:cs="Arial"/>
          <w:color w:val="000000"/>
          <w:sz w:val="24"/>
          <w:szCs w:val="24"/>
          <w:lang w:eastAsia="es-CL"/>
        </w:rPr>
        <w:t>yacimientos</w:t>
      </w:r>
      <w:proofErr w:type="gramEnd"/>
      <w:r w:rsidRPr="003662FB">
        <w:rPr>
          <w:rFonts w:ascii="Arial" w:eastAsia="Times New Roman" w:hAnsi="Arial" w:cs="Arial"/>
          <w:color w:val="000000"/>
          <w:sz w:val="24"/>
          <w:szCs w:val="24"/>
          <w:lang w:eastAsia="es-CL"/>
        </w:rPr>
        <w:t>,  particip</w:t>
      </w:r>
      <w:r w:rsidR="00333885">
        <w:rPr>
          <w:rFonts w:ascii="Arial" w:eastAsia="Times New Roman" w:hAnsi="Arial" w:cs="Arial"/>
          <w:color w:val="000000"/>
          <w:sz w:val="24"/>
          <w:szCs w:val="24"/>
          <w:lang w:eastAsia="es-CL"/>
        </w:rPr>
        <w:t>ó</w:t>
      </w:r>
      <w:r w:rsidRPr="003662FB">
        <w:rPr>
          <w:rFonts w:ascii="Arial" w:eastAsia="Times New Roman" w:hAnsi="Arial" w:cs="Arial"/>
          <w:color w:val="000000"/>
          <w:sz w:val="24"/>
          <w:szCs w:val="24"/>
          <w:lang w:eastAsia="es-CL"/>
        </w:rPr>
        <w:t xml:space="preserve"> del 59,16% de la tributación. </w:t>
      </w:r>
    </w:p>
    <w:p w:rsidR="00F7174F" w:rsidRPr="003662FB" w:rsidRDefault="00F7174F" w:rsidP="00F7174F">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 xml:space="preserve">Esa diferencia </w:t>
      </w:r>
      <w:r w:rsidR="008A5F2E">
        <w:rPr>
          <w:rFonts w:ascii="Arial" w:eastAsia="Times New Roman" w:hAnsi="Arial" w:cs="Arial"/>
          <w:color w:val="000000"/>
          <w:sz w:val="24"/>
          <w:szCs w:val="24"/>
          <w:lang w:eastAsia="es-CL"/>
        </w:rPr>
        <w:t xml:space="preserve">neta </w:t>
      </w:r>
      <w:r w:rsidRPr="003662FB">
        <w:rPr>
          <w:rFonts w:ascii="Arial" w:eastAsia="Times New Roman" w:hAnsi="Arial" w:cs="Arial"/>
          <w:color w:val="000000"/>
          <w:sz w:val="24"/>
          <w:szCs w:val="24"/>
          <w:lang w:eastAsia="es-CL"/>
        </w:rPr>
        <w:t>de US$ 18.716,7 millones, equivalentes</w:t>
      </w:r>
      <w:r w:rsidR="00895385" w:rsidRPr="003662FB">
        <w:rPr>
          <w:rFonts w:ascii="Arial" w:eastAsia="Times New Roman" w:hAnsi="Arial" w:cs="Arial"/>
          <w:color w:val="000000"/>
          <w:sz w:val="24"/>
          <w:szCs w:val="24"/>
          <w:lang w:eastAsia="es-CL"/>
        </w:rPr>
        <w:t xml:space="preserve"> a</w:t>
      </w:r>
      <w:r w:rsidR="00CA4EC6">
        <w:rPr>
          <w:rFonts w:ascii="Arial" w:eastAsia="Times New Roman" w:hAnsi="Arial" w:cs="Arial"/>
          <w:color w:val="000000"/>
          <w:sz w:val="24"/>
          <w:szCs w:val="24"/>
          <w:lang w:eastAsia="es-CL"/>
        </w:rPr>
        <w:t xml:space="preserve">l </w:t>
      </w:r>
      <w:r w:rsidR="00895385" w:rsidRPr="003662FB">
        <w:rPr>
          <w:rFonts w:ascii="Arial" w:eastAsia="Times New Roman" w:hAnsi="Arial" w:cs="Arial"/>
          <w:color w:val="000000"/>
          <w:sz w:val="24"/>
          <w:szCs w:val="24"/>
          <w:lang w:eastAsia="es-CL"/>
        </w:rPr>
        <w:t xml:space="preserve">18,8% de la tributación total, ha ido a engrosar directamente la remuneración del capital, en una razón inversamente proporcional  al detrimento de las necesidades del  desarrollo del país, y la calidad de vida de sus habitantes. </w:t>
      </w:r>
    </w:p>
    <w:p w:rsidR="00BF2A70" w:rsidRDefault="00895385" w:rsidP="00BF2A70">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 xml:space="preserve">Sin la menor duda, el perjuicio es mucho mayor, </w:t>
      </w:r>
      <w:r w:rsidR="00911C22" w:rsidRPr="003662FB">
        <w:rPr>
          <w:rFonts w:ascii="Arial" w:eastAsia="Times New Roman" w:hAnsi="Arial" w:cs="Arial"/>
          <w:color w:val="000000"/>
          <w:sz w:val="24"/>
          <w:szCs w:val="24"/>
          <w:lang w:eastAsia="es-CL"/>
        </w:rPr>
        <w:t xml:space="preserve">si se consideran </w:t>
      </w:r>
      <w:r w:rsidRPr="003662FB">
        <w:rPr>
          <w:rFonts w:ascii="Arial" w:eastAsia="Times New Roman" w:hAnsi="Arial" w:cs="Arial"/>
          <w:color w:val="000000"/>
          <w:sz w:val="24"/>
          <w:szCs w:val="24"/>
          <w:lang w:eastAsia="es-CL"/>
        </w:rPr>
        <w:t>una serie de costos hundidos</w:t>
      </w:r>
      <w:r w:rsidR="00911C22" w:rsidRPr="003662FB">
        <w:rPr>
          <w:rFonts w:ascii="Arial" w:eastAsia="Times New Roman" w:hAnsi="Arial" w:cs="Arial"/>
          <w:color w:val="000000"/>
          <w:sz w:val="24"/>
          <w:szCs w:val="24"/>
          <w:lang w:eastAsia="es-CL"/>
        </w:rPr>
        <w:t xml:space="preserve"> de la Gran Minería del cobre</w:t>
      </w:r>
      <w:r w:rsidRPr="003662FB">
        <w:rPr>
          <w:rFonts w:ascii="Arial" w:eastAsia="Times New Roman" w:hAnsi="Arial" w:cs="Arial"/>
          <w:color w:val="000000"/>
          <w:sz w:val="24"/>
          <w:szCs w:val="24"/>
          <w:lang w:eastAsia="es-CL"/>
        </w:rPr>
        <w:t xml:space="preserve">, que el informe de </w:t>
      </w:r>
      <w:proofErr w:type="spellStart"/>
      <w:r w:rsidRPr="003662FB">
        <w:rPr>
          <w:rFonts w:ascii="Arial" w:eastAsia="Times New Roman" w:hAnsi="Arial" w:cs="Arial"/>
          <w:color w:val="000000"/>
          <w:sz w:val="24"/>
          <w:szCs w:val="24"/>
          <w:lang w:eastAsia="es-CL"/>
        </w:rPr>
        <w:t>Cochilco</w:t>
      </w:r>
      <w:proofErr w:type="spellEnd"/>
      <w:r w:rsidRPr="003662FB">
        <w:rPr>
          <w:rFonts w:ascii="Arial" w:eastAsia="Times New Roman" w:hAnsi="Arial" w:cs="Arial"/>
          <w:color w:val="000000"/>
          <w:sz w:val="24"/>
          <w:szCs w:val="24"/>
          <w:lang w:eastAsia="es-CL"/>
        </w:rPr>
        <w:t xml:space="preserve"> omite</w:t>
      </w:r>
      <w:r w:rsidR="00911C22" w:rsidRPr="003662FB">
        <w:rPr>
          <w:rFonts w:ascii="Arial" w:eastAsia="Times New Roman" w:hAnsi="Arial" w:cs="Arial"/>
          <w:color w:val="000000"/>
          <w:sz w:val="24"/>
          <w:szCs w:val="24"/>
          <w:lang w:eastAsia="es-CL"/>
        </w:rPr>
        <w:t xml:space="preserve"> púdicamente</w:t>
      </w:r>
      <w:r w:rsidRPr="003662FB">
        <w:rPr>
          <w:rFonts w:ascii="Arial" w:eastAsia="Times New Roman" w:hAnsi="Arial" w:cs="Arial"/>
          <w:color w:val="000000"/>
          <w:sz w:val="24"/>
          <w:szCs w:val="24"/>
          <w:lang w:eastAsia="es-CL"/>
        </w:rPr>
        <w:t xml:space="preserve">, </w:t>
      </w:r>
      <w:r w:rsidR="00911C22" w:rsidRPr="003662FB">
        <w:rPr>
          <w:rFonts w:ascii="Arial" w:eastAsia="Times New Roman" w:hAnsi="Arial" w:cs="Arial"/>
          <w:color w:val="000000"/>
          <w:sz w:val="24"/>
          <w:szCs w:val="24"/>
          <w:lang w:eastAsia="es-CL"/>
        </w:rPr>
        <w:t xml:space="preserve"> </w:t>
      </w:r>
      <w:r w:rsidRPr="003662FB">
        <w:rPr>
          <w:rFonts w:ascii="Arial" w:eastAsia="Times New Roman" w:hAnsi="Arial" w:cs="Arial"/>
          <w:color w:val="000000"/>
          <w:sz w:val="24"/>
          <w:szCs w:val="24"/>
          <w:lang w:eastAsia="es-CL"/>
        </w:rPr>
        <w:t>sin siquiera</w:t>
      </w:r>
      <w:r w:rsidR="00911C22" w:rsidRPr="003662FB">
        <w:rPr>
          <w:rFonts w:ascii="Arial" w:eastAsia="Times New Roman" w:hAnsi="Arial" w:cs="Arial"/>
          <w:color w:val="000000"/>
          <w:sz w:val="24"/>
          <w:szCs w:val="24"/>
          <w:lang w:eastAsia="es-CL"/>
        </w:rPr>
        <w:t xml:space="preserve"> esbozar </w:t>
      </w:r>
      <w:r w:rsidRPr="003662FB">
        <w:rPr>
          <w:rFonts w:ascii="Arial" w:eastAsia="Times New Roman" w:hAnsi="Arial" w:cs="Arial"/>
          <w:color w:val="000000"/>
          <w:sz w:val="24"/>
          <w:szCs w:val="24"/>
          <w:lang w:eastAsia="es-CL"/>
        </w:rPr>
        <w:t>la intención de aplicar el rol regulador que le asigna la ley</w:t>
      </w:r>
      <w:r w:rsidR="00911C22" w:rsidRPr="003662FB">
        <w:rPr>
          <w:rFonts w:ascii="Arial" w:eastAsia="Times New Roman" w:hAnsi="Arial" w:cs="Arial"/>
          <w:color w:val="000000"/>
          <w:sz w:val="24"/>
          <w:szCs w:val="24"/>
          <w:lang w:eastAsia="es-CL"/>
        </w:rPr>
        <w:t xml:space="preserve">, y que desembocan en la elusión, si es que no derechamente en la evasión tributaria. </w:t>
      </w:r>
      <w:r w:rsidRPr="003662FB">
        <w:rPr>
          <w:rFonts w:ascii="Arial" w:eastAsia="Times New Roman" w:hAnsi="Arial" w:cs="Arial"/>
          <w:color w:val="000000"/>
          <w:sz w:val="24"/>
          <w:szCs w:val="24"/>
          <w:lang w:eastAsia="es-CL"/>
        </w:rPr>
        <w:t xml:space="preserve"> </w:t>
      </w:r>
    </w:p>
    <w:p w:rsidR="002576AC" w:rsidRPr="003662FB" w:rsidRDefault="002576AC" w:rsidP="00BF2A70">
      <w:pP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 xml:space="preserve">De hecho, la serie estadística parte en 1996, por la sencilla razón de que en los años inmediatamente anteriores, el sector de la Gran Minería casi no tributó, acogido como estaba a beneficios y franquicias como por ejemplo, la depreciación acelerada. </w:t>
      </w:r>
    </w:p>
    <w:p w:rsidR="00895385" w:rsidRPr="003662FB" w:rsidRDefault="002576AC" w:rsidP="00BF2A70">
      <w:pP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Entre los mecanismos para abultar pérdidas, d</w:t>
      </w:r>
      <w:r w:rsidR="00911C22" w:rsidRPr="003662FB">
        <w:rPr>
          <w:rFonts w:ascii="Arial" w:eastAsia="Times New Roman" w:hAnsi="Arial" w:cs="Arial"/>
          <w:color w:val="000000"/>
          <w:sz w:val="24"/>
          <w:szCs w:val="24"/>
          <w:lang w:eastAsia="es-CL"/>
        </w:rPr>
        <w:t xml:space="preserve">estacan </w:t>
      </w:r>
      <w:r w:rsidR="00895385" w:rsidRPr="003662FB">
        <w:rPr>
          <w:rFonts w:ascii="Arial" w:eastAsia="Times New Roman" w:hAnsi="Arial" w:cs="Arial"/>
          <w:color w:val="000000"/>
          <w:sz w:val="24"/>
          <w:szCs w:val="24"/>
          <w:lang w:eastAsia="es-CL"/>
        </w:rPr>
        <w:t xml:space="preserve">los </w:t>
      </w:r>
      <w:r w:rsidR="00911C22" w:rsidRPr="003662FB">
        <w:rPr>
          <w:rFonts w:ascii="Arial" w:eastAsia="Times New Roman" w:hAnsi="Arial" w:cs="Arial"/>
          <w:color w:val="000000"/>
          <w:sz w:val="24"/>
          <w:szCs w:val="24"/>
          <w:lang w:eastAsia="es-CL"/>
        </w:rPr>
        <w:t xml:space="preserve">precios de </w:t>
      </w:r>
      <w:r w:rsidR="00895385" w:rsidRPr="003662FB">
        <w:rPr>
          <w:rFonts w:ascii="Arial" w:eastAsia="Times New Roman" w:hAnsi="Arial" w:cs="Arial"/>
          <w:color w:val="000000"/>
          <w:sz w:val="24"/>
          <w:szCs w:val="24"/>
          <w:lang w:eastAsia="es-CL"/>
        </w:rPr>
        <w:t>transferencia</w:t>
      </w:r>
      <w:r w:rsidR="00911C22" w:rsidRPr="003662FB">
        <w:rPr>
          <w:rFonts w:ascii="Arial" w:eastAsia="Times New Roman" w:hAnsi="Arial" w:cs="Arial"/>
          <w:color w:val="000000"/>
          <w:sz w:val="24"/>
          <w:szCs w:val="24"/>
          <w:lang w:eastAsia="es-CL"/>
        </w:rPr>
        <w:t xml:space="preserve">, los créditos y operaciones relacionadas, la exportación de </w:t>
      </w:r>
      <w:r w:rsidR="00911C22" w:rsidRPr="003662FB">
        <w:rPr>
          <w:rFonts w:ascii="Arial" w:eastAsia="Times New Roman" w:hAnsi="Arial" w:cs="Arial"/>
          <w:color w:val="000000"/>
          <w:sz w:val="24"/>
          <w:szCs w:val="24"/>
          <w:lang w:eastAsia="es-CL"/>
        </w:rPr>
        <w:lastRenderedPageBreak/>
        <w:t xml:space="preserve">concentrados y la incapacidad del Estado de Chile para regular a la Gran Minería del cobre, entre otros </w:t>
      </w:r>
      <w:r w:rsidR="00333885">
        <w:rPr>
          <w:rFonts w:ascii="Arial" w:eastAsia="Times New Roman" w:hAnsi="Arial" w:cs="Arial"/>
          <w:color w:val="000000"/>
          <w:sz w:val="24"/>
          <w:szCs w:val="24"/>
          <w:lang w:eastAsia="es-CL"/>
        </w:rPr>
        <w:t xml:space="preserve">de parecido jaez. </w:t>
      </w:r>
      <w:r w:rsidR="00911C22" w:rsidRPr="003662FB">
        <w:rPr>
          <w:rFonts w:ascii="Arial" w:eastAsia="Times New Roman" w:hAnsi="Arial" w:cs="Arial"/>
          <w:color w:val="000000"/>
          <w:sz w:val="24"/>
          <w:szCs w:val="24"/>
          <w:lang w:eastAsia="es-CL"/>
        </w:rPr>
        <w:t xml:space="preserve"> </w:t>
      </w:r>
    </w:p>
    <w:p w:rsidR="00911C22" w:rsidRPr="003662FB" w:rsidRDefault="00911C22" w:rsidP="00911C22">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 xml:space="preserve">El año 2015, el sector de la minería exportó US$  33.062,8 millones, de los cuales US$ 30.371,1, es decir, </w:t>
      </w:r>
      <w:r w:rsidR="00097D56" w:rsidRPr="003662FB">
        <w:rPr>
          <w:rFonts w:ascii="Arial" w:eastAsia="Times New Roman" w:hAnsi="Arial" w:cs="Arial"/>
          <w:color w:val="000000"/>
          <w:sz w:val="24"/>
          <w:szCs w:val="24"/>
          <w:lang w:eastAsia="es-CL"/>
        </w:rPr>
        <w:t xml:space="preserve">el </w:t>
      </w:r>
      <w:r w:rsidRPr="003662FB">
        <w:rPr>
          <w:rFonts w:ascii="Arial" w:eastAsia="Times New Roman" w:hAnsi="Arial" w:cs="Arial"/>
          <w:color w:val="000000"/>
          <w:sz w:val="24"/>
          <w:szCs w:val="24"/>
          <w:lang w:eastAsia="es-CL"/>
        </w:rPr>
        <w:t xml:space="preserve">90,9%, </w:t>
      </w:r>
      <w:r w:rsidR="00097D56" w:rsidRPr="003662FB">
        <w:rPr>
          <w:rFonts w:ascii="Arial" w:eastAsia="Times New Roman" w:hAnsi="Arial" w:cs="Arial"/>
          <w:color w:val="000000"/>
          <w:sz w:val="24"/>
          <w:szCs w:val="24"/>
          <w:lang w:eastAsia="es-CL"/>
        </w:rPr>
        <w:t xml:space="preserve">corresponde a la minería del cobre. </w:t>
      </w:r>
    </w:p>
    <w:p w:rsidR="002376DF" w:rsidRPr="003662FB" w:rsidRDefault="002376DF" w:rsidP="002376DF">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Los embarques de cobre representaron el  54,30% de las exportaciones totales</w:t>
      </w:r>
      <w:r w:rsidR="00773A9B">
        <w:rPr>
          <w:rFonts w:ascii="Arial" w:eastAsia="Times New Roman" w:hAnsi="Arial" w:cs="Arial"/>
          <w:color w:val="000000"/>
          <w:sz w:val="24"/>
          <w:szCs w:val="24"/>
          <w:lang w:eastAsia="es-CL"/>
        </w:rPr>
        <w:t>.</w:t>
      </w:r>
      <w:r w:rsidRPr="003662FB">
        <w:rPr>
          <w:rFonts w:ascii="Arial" w:eastAsia="Times New Roman" w:hAnsi="Arial" w:cs="Arial"/>
          <w:color w:val="000000"/>
          <w:sz w:val="24"/>
          <w:szCs w:val="24"/>
          <w:lang w:eastAsia="es-CL"/>
        </w:rPr>
        <w:t xml:space="preserve"> </w:t>
      </w:r>
    </w:p>
    <w:p w:rsidR="002376DF" w:rsidRPr="003662FB" w:rsidRDefault="002376DF" w:rsidP="00911C22">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Ese mismo año, Codelco, con sus cinco divisiones, exportó 1.536,8 millones de TM, mientras que Escondida colocó 1</w:t>
      </w:r>
      <w:r w:rsidR="008A5F2E">
        <w:rPr>
          <w:rFonts w:ascii="Arial" w:eastAsia="Times New Roman" w:hAnsi="Arial" w:cs="Arial"/>
          <w:color w:val="000000"/>
          <w:sz w:val="24"/>
          <w:szCs w:val="24"/>
          <w:lang w:eastAsia="es-CL"/>
        </w:rPr>
        <w:t>.</w:t>
      </w:r>
      <w:r w:rsidRPr="003662FB">
        <w:rPr>
          <w:rFonts w:ascii="Arial" w:eastAsia="Times New Roman" w:hAnsi="Arial" w:cs="Arial"/>
          <w:color w:val="000000"/>
          <w:sz w:val="24"/>
          <w:szCs w:val="24"/>
          <w:lang w:eastAsia="es-CL"/>
        </w:rPr>
        <w:t xml:space="preserve">091,4 </w:t>
      </w:r>
      <w:r w:rsidR="008A5F2E">
        <w:rPr>
          <w:rFonts w:ascii="Arial" w:eastAsia="Times New Roman" w:hAnsi="Arial" w:cs="Arial"/>
          <w:color w:val="000000"/>
          <w:sz w:val="24"/>
          <w:szCs w:val="24"/>
          <w:lang w:eastAsia="es-CL"/>
        </w:rPr>
        <w:t xml:space="preserve">millones de </w:t>
      </w:r>
      <w:r w:rsidRPr="003662FB">
        <w:rPr>
          <w:rFonts w:ascii="Arial" w:eastAsia="Times New Roman" w:hAnsi="Arial" w:cs="Arial"/>
          <w:color w:val="000000"/>
          <w:sz w:val="24"/>
          <w:szCs w:val="24"/>
          <w:lang w:eastAsia="es-CL"/>
        </w:rPr>
        <w:t>TM.</w:t>
      </w:r>
    </w:p>
    <w:p w:rsidR="00C31B0A" w:rsidRPr="003662FB" w:rsidRDefault="00C31B0A" w:rsidP="00C31B0A">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 xml:space="preserve">El siguiente conjunto de indicadores macroeconómicos del anuario de </w:t>
      </w:r>
      <w:proofErr w:type="spellStart"/>
      <w:r w:rsidRPr="003662FB">
        <w:rPr>
          <w:rFonts w:ascii="Arial" w:eastAsia="Times New Roman" w:hAnsi="Arial" w:cs="Arial"/>
          <w:color w:val="000000"/>
          <w:sz w:val="24"/>
          <w:szCs w:val="24"/>
          <w:lang w:eastAsia="es-CL"/>
        </w:rPr>
        <w:t>Cochilco</w:t>
      </w:r>
      <w:proofErr w:type="spellEnd"/>
      <w:r w:rsidR="00CA4EC6">
        <w:rPr>
          <w:rFonts w:ascii="Arial" w:eastAsia="Times New Roman" w:hAnsi="Arial" w:cs="Arial"/>
          <w:color w:val="000000"/>
          <w:sz w:val="24"/>
          <w:szCs w:val="24"/>
          <w:lang w:eastAsia="es-CL"/>
        </w:rPr>
        <w:t xml:space="preserve"> 2015</w:t>
      </w:r>
      <w:r w:rsidRPr="003662FB">
        <w:rPr>
          <w:rFonts w:ascii="Arial" w:eastAsia="Times New Roman" w:hAnsi="Arial" w:cs="Arial"/>
          <w:color w:val="000000"/>
          <w:sz w:val="24"/>
          <w:szCs w:val="24"/>
          <w:lang w:eastAsia="es-CL"/>
        </w:rPr>
        <w:t>, constituye un notable re</w:t>
      </w:r>
      <w:r w:rsidR="002376DF" w:rsidRPr="003662FB">
        <w:rPr>
          <w:rFonts w:ascii="Arial" w:eastAsia="Times New Roman" w:hAnsi="Arial" w:cs="Arial"/>
          <w:color w:val="000000"/>
          <w:sz w:val="24"/>
          <w:szCs w:val="24"/>
          <w:lang w:eastAsia="es-CL"/>
        </w:rPr>
        <w:t xml:space="preserve">trato </w:t>
      </w:r>
      <w:r w:rsidRPr="003662FB">
        <w:rPr>
          <w:rFonts w:ascii="Arial" w:eastAsia="Times New Roman" w:hAnsi="Arial" w:cs="Arial"/>
          <w:color w:val="000000"/>
          <w:sz w:val="24"/>
          <w:szCs w:val="24"/>
          <w:lang w:eastAsia="es-CL"/>
        </w:rPr>
        <w:t xml:space="preserve"> de las características del modelo económico en vigencia. </w:t>
      </w:r>
    </w:p>
    <w:p w:rsidR="00C31B0A" w:rsidRPr="003662FB" w:rsidRDefault="00C31B0A" w:rsidP="00C31B0A">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La minería particip</w:t>
      </w:r>
      <w:r w:rsidR="005D78DE" w:rsidRPr="003662FB">
        <w:rPr>
          <w:rFonts w:ascii="Arial" w:eastAsia="Times New Roman" w:hAnsi="Arial" w:cs="Arial"/>
          <w:color w:val="000000"/>
          <w:sz w:val="24"/>
          <w:szCs w:val="24"/>
          <w:lang w:eastAsia="es-CL"/>
        </w:rPr>
        <w:t xml:space="preserve">ó en </w:t>
      </w:r>
      <w:r w:rsidRPr="003662FB">
        <w:rPr>
          <w:rFonts w:ascii="Arial" w:eastAsia="Times New Roman" w:hAnsi="Arial" w:cs="Arial"/>
          <w:color w:val="000000"/>
          <w:sz w:val="24"/>
          <w:szCs w:val="24"/>
          <w:lang w:eastAsia="es-CL"/>
        </w:rPr>
        <w:t>el 11,9% del PIB, y el cobre,</w:t>
      </w:r>
      <w:r w:rsidR="005D78DE" w:rsidRPr="003662FB">
        <w:rPr>
          <w:rFonts w:ascii="Arial" w:eastAsia="Times New Roman" w:hAnsi="Arial" w:cs="Arial"/>
          <w:color w:val="000000"/>
          <w:sz w:val="24"/>
          <w:szCs w:val="24"/>
          <w:lang w:eastAsia="es-CL"/>
        </w:rPr>
        <w:t xml:space="preserve"> en el </w:t>
      </w:r>
      <w:r w:rsidRPr="003662FB">
        <w:rPr>
          <w:rFonts w:ascii="Arial" w:eastAsia="Times New Roman" w:hAnsi="Arial" w:cs="Arial"/>
          <w:color w:val="000000"/>
          <w:sz w:val="24"/>
          <w:szCs w:val="24"/>
          <w:lang w:eastAsia="es-CL"/>
        </w:rPr>
        <w:t>10,7</w:t>
      </w:r>
      <w:r w:rsidR="005D78DE" w:rsidRPr="003662FB">
        <w:rPr>
          <w:rFonts w:ascii="Arial" w:eastAsia="Times New Roman" w:hAnsi="Arial" w:cs="Arial"/>
          <w:color w:val="000000"/>
          <w:sz w:val="24"/>
          <w:szCs w:val="24"/>
          <w:lang w:eastAsia="es-CL"/>
        </w:rPr>
        <w:t>%</w:t>
      </w:r>
      <w:r w:rsidR="009C6B73" w:rsidRPr="003662FB">
        <w:rPr>
          <w:rFonts w:ascii="Arial" w:eastAsia="Times New Roman" w:hAnsi="Arial" w:cs="Arial"/>
          <w:color w:val="000000"/>
          <w:sz w:val="24"/>
          <w:szCs w:val="24"/>
          <w:lang w:eastAsia="es-CL"/>
        </w:rPr>
        <w:t xml:space="preserve">. Lo supera ampliamente el sector financiero, con un 18,8%. También registran participación importante los sectores servicios (10,8%); comercio (10,8%); industria (10%) e IVA (8,6%). </w:t>
      </w:r>
    </w:p>
    <w:p w:rsidR="002376DF" w:rsidRPr="00773A9B" w:rsidRDefault="002376DF" w:rsidP="002376DF">
      <w:pPr>
        <w:rPr>
          <w:rFonts w:ascii="Arial" w:hAnsi="Arial" w:cs="Arial"/>
          <w:sz w:val="24"/>
          <w:szCs w:val="24"/>
        </w:rPr>
      </w:pPr>
      <w:r w:rsidRPr="003662FB">
        <w:rPr>
          <w:rFonts w:ascii="Arial" w:eastAsia="Times New Roman" w:hAnsi="Arial" w:cs="Arial"/>
          <w:color w:val="000000"/>
          <w:sz w:val="24"/>
          <w:szCs w:val="24"/>
          <w:lang w:eastAsia="es-CL"/>
        </w:rPr>
        <w:t>En 2015, la minería</w:t>
      </w:r>
      <w:r w:rsidR="00B62928">
        <w:rPr>
          <w:rFonts w:ascii="Arial" w:eastAsia="Times New Roman" w:hAnsi="Arial" w:cs="Arial"/>
          <w:color w:val="000000"/>
          <w:sz w:val="24"/>
          <w:szCs w:val="24"/>
          <w:lang w:eastAsia="es-CL"/>
        </w:rPr>
        <w:t xml:space="preserve">, casi con el 12% del PIB, </w:t>
      </w:r>
      <w:r w:rsidRPr="003662FB">
        <w:rPr>
          <w:rFonts w:ascii="Arial" w:eastAsia="Times New Roman" w:hAnsi="Arial" w:cs="Arial"/>
          <w:color w:val="000000"/>
          <w:sz w:val="24"/>
          <w:szCs w:val="24"/>
          <w:lang w:eastAsia="es-CL"/>
        </w:rPr>
        <w:t xml:space="preserve">ocupó 238.454 trabajadores, el 2,9% de la población activa, de los cuales </w:t>
      </w:r>
      <w:r w:rsidR="003662FB" w:rsidRPr="003662FB">
        <w:rPr>
          <w:rFonts w:ascii="Arial" w:eastAsia="Times New Roman" w:hAnsi="Arial" w:cs="Arial"/>
          <w:color w:val="000000"/>
          <w:sz w:val="24"/>
          <w:szCs w:val="24"/>
          <w:lang w:eastAsia="es-CL"/>
        </w:rPr>
        <w:t xml:space="preserve">el </w:t>
      </w:r>
      <w:r w:rsidR="003662FB" w:rsidRPr="00773A9B">
        <w:rPr>
          <w:rFonts w:ascii="Arial" w:hAnsi="Arial" w:cs="Arial"/>
          <w:sz w:val="24"/>
          <w:szCs w:val="24"/>
        </w:rPr>
        <w:t xml:space="preserve">70,28% corresponde a trabajadores de empresas contratistas. </w:t>
      </w:r>
    </w:p>
    <w:p w:rsidR="003662FB" w:rsidRPr="003662FB" w:rsidRDefault="003662FB" w:rsidP="003662FB">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 xml:space="preserve">En </w:t>
      </w:r>
      <w:r w:rsidR="00773A9B">
        <w:rPr>
          <w:rFonts w:ascii="Arial" w:eastAsia="Times New Roman" w:hAnsi="Arial" w:cs="Arial"/>
          <w:color w:val="000000"/>
          <w:sz w:val="24"/>
          <w:szCs w:val="24"/>
          <w:lang w:eastAsia="es-CL"/>
        </w:rPr>
        <w:t xml:space="preserve">el plano </w:t>
      </w:r>
      <w:r w:rsidRPr="003662FB">
        <w:rPr>
          <w:rFonts w:ascii="Arial" w:eastAsia="Times New Roman" w:hAnsi="Arial" w:cs="Arial"/>
          <w:color w:val="000000"/>
          <w:sz w:val="24"/>
          <w:szCs w:val="24"/>
          <w:lang w:eastAsia="es-CL"/>
        </w:rPr>
        <w:t>regional, la participación de Atacama en el PIB del cobre, con 446.88</w:t>
      </w:r>
      <w:r w:rsidR="00B62928">
        <w:rPr>
          <w:rFonts w:ascii="Arial" w:eastAsia="Times New Roman" w:hAnsi="Arial" w:cs="Arial"/>
          <w:color w:val="000000"/>
          <w:sz w:val="24"/>
          <w:szCs w:val="24"/>
          <w:lang w:eastAsia="es-CL"/>
        </w:rPr>
        <w:t>8</w:t>
      </w:r>
      <w:r w:rsidR="00773A9B">
        <w:rPr>
          <w:rFonts w:ascii="Arial" w:eastAsia="Times New Roman" w:hAnsi="Arial" w:cs="Arial"/>
          <w:color w:val="000000"/>
          <w:sz w:val="24"/>
          <w:szCs w:val="24"/>
          <w:lang w:eastAsia="es-CL"/>
        </w:rPr>
        <w:t xml:space="preserve"> TM</w:t>
      </w:r>
      <w:r w:rsidR="00B62928">
        <w:rPr>
          <w:rFonts w:ascii="Arial" w:eastAsia="Times New Roman" w:hAnsi="Arial" w:cs="Arial"/>
          <w:color w:val="000000"/>
          <w:sz w:val="24"/>
          <w:szCs w:val="24"/>
          <w:lang w:eastAsia="es-CL"/>
        </w:rPr>
        <w:t>, h</w:t>
      </w:r>
      <w:r w:rsidRPr="003662FB">
        <w:rPr>
          <w:rFonts w:ascii="Arial" w:eastAsia="Times New Roman" w:hAnsi="Arial" w:cs="Arial"/>
          <w:color w:val="000000"/>
          <w:sz w:val="24"/>
          <w:szCs w:val="24"/>
          <w:lang w:eastAsia="es-CL"/>
        </w:rPr>
        <w:t xml:space="preserve">a disminuido </w:t>
      </w:r>
      <w:r w:rsidR="00B62928">
        <w:rPr>
          <w:rFonts w:ascii="Arial" w:eastAsia="Times New Roman" w:hAnsi="Arial" w:cs="Arial"/>
          <w:color w:val="000000"/>
          <w:sz w:val="24"/>
          <w:szCs w:val="24"/>
          <w:lang w:eastAsia="es-CL"/>
        </w:rPr>
        <w:t xml:space="preserve">tanto en términos absolutos, como relativos. </w:t>
      </w:r>
    </w:p>
    <w:p w:rsidR="007C2AB2" w:rsidRDefault="003662FB">
      <w:pPr>
        <w:rPr>
          <w:rFonts w:ascii="Arial" w:eastAsia="Times New Roman" w:hAnsi="Arial" w:cs="Arial"/>
          <w:color w:val="000000"/>
          <w:sz w:val="24"/>
          <w:szCs w:val="24"/>
          <w:lang w:eastAsia="es-CL"/>
        </w:rPr>
      </w:pPr>
      <w:r w:rsidRPr="003662FB">
        <w:rPr>
          <w:rFonts w:ascii="Arial" w:eastAsia="Times New Roman" w:hAnsi="Arial" w:cs="Arial"/>
          <w:color w:val="000000"/>
          <w:sz w:val="24"/>
          <w:szCs w:val="24"/>
          <w:lang w:eastAsia="es-CL"/>
        </w:rPr>
        <w:t xml:space="preserve">En la actualidad, marcha en quinta posición </w:t>
      </w:r>
      <w:r w:rsidR="00B62928">
        <w:rPr>
          <w:rFonts w:ascii="Arial" w:eastAsia="Times New Roman" w:hAnsi="Arial" w:cs="Arial"/>
          <w:color w:val="000000"/>
          <w:sz w:val="24"/>
          <w:szCs w:val="24"/>
          <w:lang w:eastAsia="es-CL"/>
        </w:rPr>
        <w:t xml:space="preserve">del ranking nacional, </w:t>
      </w:r>
      <w:r w:rsidRPr="003662FB">
        <w:rPr>
          <w:rFonts w:ascii="Arial" w:eastAsia="Times New Roman" w:hAnsi="Arial" w:cs="Arial"/>
          <w:color w:val="000000"/>
          <w:sz w:val="24"/>
          <w:szCs w:val="24"/>
          <w:lang w:eastAsia="es-CL"/>
        </w:rPr>
        <w:t>detrás de Antofagasta (3.108</w:t>
      </w:r>
      <w:r w:rsidR="00773A9B">
        <w:rPr>
          <w:rFonts w:ascii="Arial" w:eastAsia="Times New Roman" w:hAnsi="Arial" w:cs="Arial"/>
          <w:color w:val="000000"/>
          <w:sz w:val="24"/>
          <w:szCs w:val="24"/>
          <w:lang w:eastAsia="es-CL"/>
        </w:rPr>
        <w:t>.</w:t>
      </w:r>
      <w:r w:rsidR="00345A1D">
        <w:rPr>
          <w:rFonts w:ascii="Arial" w:eastAsia="Times New Roman" w:hAnsi="Arial" w:cs="Arial"/>
          <w:color w:val="000000"/>
          <w:sz w:val="24"/>
          <w:szCs w:val="24"/>
          <w:lang w:eastAsia="es-CL"/>
        </w:rPr>
        <w:t>3</w:t>
      </w:r>
      <w:r w:rsidRPr="003662FB">
        <w:rPr>
          <w:rFonts w:ascii="Arial" w:eastAsia="Times New Roman" w:hAnsi="Arial" w:cs="Arial"/>
          <w:color w:val="000000"/>
          <w:sz w:val="24"/>
          <w:szCs w:val="24"/>
          <w:lang w:eastAsia="es-CL"/>
        </w:rPr>
        <w:t>5</w:t>
      </w:r>
      <w:r w:rsidR="00773A9B">
        <w:rPr>
          <w:rFonts w:ascii="Arial" w:eastAsia="Times New Roman" w:hAnsi="Arial" w:cs="Arial"/>
          <w:color w:val="000000"/>
          <w:sz w:val="24"/>
          <w:szCs w:val="24"/>
          <w:lang w:eastAsia="es-CL"/>
        </w:rPr>
        <w:t>0</w:t>
      </w:r>
      <w:r w:rsidRPr="003662FB">
        <w:rPr>
          <w:rFonts w:ascii="Arial" w:eastAsia="Times New Roman" w:hAnsi="Arial" w:cs="Arial"/>
          <w:color w:val="000000"/>
          <w:sz w:val="24"/>
          <w:szCs w:val="24"/>
          <w:lang w:eastAsia="es-CL"/>
        </w:rPr>
        <w:t xml:space="preserve"> TM); Tarapacá (579.596 TM); Valparaíso (507.256 TM)  y O’Higgins, </w:t>
      </w:r>
      <w:r w:rsidR="00345A1D">
        <w:rPr>
          <w:rFonts w:ascii="Arial" w:eastAsia="Times New Roman" w:hAnsi="Arial" w:cs="Arial"/>
          <w:color w:val="000000"/>
          <w:sz w:val="24"/>
          <w:szCs w:val="24"/>
          <w:lang w:eastAsia="es-CL"/>
        </w:rPr>
        <w:t>(</w:t>
      </w:r>
      <w:r w:rsidRPr="003662FB">
        <w:rPr>
          <w:rFonts w:ascii="Arial" w:eastAsia="Times New Roman" w:hAnsi="Arial" w:cs="Arial"/>
          <w:color w:val="000000"/>
          <w:sz w:val="24"/>
          <w:szCs w:val="24"/>
          <w:lang w:eastAsia="es-CL"/>
        </w:rPr>
        <w:t xml:space="preserve">487.153 TM). </w:t>
      </w:r>
    </w:p>
    <w:p w:rsidR="00CA4EC6" w:rsidRDefault="00CA4EC6">
      <w:pPr>
        <w:rPr>
          <w:rFonts w:ascii="Arial" w:hAnsi="Arial" w:cs="Arial"/>
          <w:sz w:val="24"/>
          <w:szCs w:val="24"/>
        </w:rPr>
      </w:pPr>
      <w:r>
        <w:rPr>
          <w:rFonts w:ascii="Arial" w:hAnsi="Arial" w:cs="Arial"/>
          <w:sz w:val="24"/>
          <w:szCs w:val="24"/>
        </w:rPr>
        <w:t xml:space="preserve">El panorama se mantiene inalterado respecto al diagnóstico que el suscrito formulara en 2008, en el libro Cuatro Décadas de Neoliberalismo en Chile: La Cueca Larga del Rey Desnudo: </w:t>
      </w:r>
    </w:p>
    <w:p w:rsidR="00CA4EC6" w:rsidRDefault="00CA4EC6" w:rsidP="00CA4EC6">
      <w:pPr>
        <w:ind w:right="207"/>
        <w:rPr>
          <w:rFonts w:ascii="Arial" w:hAnsi="Arial" w:cs="Arial"/>
          <w:sz w:val="24"/>
          <w:szCs w:val="24"/>
        </w:rPr>
      </w:pPr>
      <w:r>
        <w:rPr>
          <w:rFonts w:ascii="Arial" w:hAnsi="Arial" w:cs="Arial"/>
          <w:sz w:val="24"/>
          <w:szCs w:val="24"/>
        </w:rPr>
        <w:t>“</w:t>
      </w:r>
      <w:r w:rsidRPr="00CA4EC6">
        <w:rPr>
          <w:rFonts w:ascii="Arial" w:hAnsi="Arial" w:cs="Arial"/>
          <w:sz w:val="24"/>
          <w:szCs w:val="24"/>
        </w:rPr>
        <w:t xml:space="preserve">El efecto combinado del menor precio del cobre en virtud de la sobreproducción impulsada desde Chile con la indiscriminada incorporación de grandes proyectos mineros entregados al capital transnacional, la evasión tributaria y otras formas de encubrir utilidades y eludir el pago de la renta que practican estas compañías, y el tipo de producción que se les permite, mayoritariamente concentrados de cobre sin la menor elaboración y adición de valor, ha generado menores ingresos, o derechamente pérdidas para el país, que algunos autores calculan conservadoramente en unos quince mil millones de dólares en la década 1990-2000. Si a eso se le agregan los alrededor de 80 mil millones de </w:t>
      </w:r>
      <w:r w:rsidRPr="00CA4EC6">
        <w:rPr>
          <w:rFonts w:ascii="Arial" w:hAnsi="Arial" w:cs="Arial"/>
          <w:sz w:val="24"/>
          <w:szCs w:val="24"/>
        </w:rPr>
        <w:lastRenderedPageBreak/>
        <w:t>dólares que han repatriado las transnacionales durante el ciclo de precios altos de los transables, entre 2004 y 2008, se obtiene que, sólo en el reglón del cobre, se le ha sustraído a la economía del país, o ha dejado de ingresar, por diversos conceptos, una suma equivalente a más de una vez el PIB anual de Chile</w:t>
      </w:r>
      <w:r>
        <w:rPr>
          <w:rFonts w:ascii="Arial" w:hAnsi="Arial" w:cs="Arial"/>
          <w:sz w:val="24"/>
          <w:szCs w:val="24"/>
        </w:rPr>
        <w:t>”</w:t>
      </w:r>
      <w:r w:rsidRPr="00CA4EC6">
        <w:rPr>
          <w:rFonts w:ascii="Arial" w:hAnsi="Arial" w:cs="Arial"/>
          <w:sz w:val="24"/>
          <w:szCs w:val="24"/>
        </w:rPr>
        <w:t>.</w:t>
      </w:r>
    </w:p>
    <w:p w:rsidR="00B2454E" w:rsidRDefault="00953DED" w:rsidP="00CA4EC6">
      <w:pPr>
        <w:ind w:right="207"/>
        <w:rPr>
          <w:rStyle w:val="nfasis"/>
          <w:rFonts w:ascii="Arial" w:hAnsi="Arial" w:cs="Arial"/>
          <w:i w:val="0"/>
          <w:sz w:val="24"/>
          <w:szCs w:val="24"/>
        </w:rPr>
      </w:pPr>
      <w:r>
        <w:rPr>
          <w:rFonts w:ascii="Arial" w:hAnsi="Arial" w:cs="Arial"/>
          <w:sz w:val="24"/>
          <w:szCs w:val="24"/>
        </w:rPr>
        <w:t xml:space="preserve">En el estudio </w:t>
      </w:r>
      <w:r w:rsidRPr="00953DED">
        <w:rPr>
          <w:rStyle w:val="nfasis"/>
          <w:rFonts w:ascii="Arial" w:hAnsi="Arial" w:cs="Arial"/>
          <w:sz w:val="24"/>
          <w:szCs w:val="24"/>
        </w:rPr>
        <w:t>“</w:t>
      </w:r>
      <w:hyperlink r:id="rId8" w:tgtFrame="_blank" w:history="1">
        <w:r w:rsidRPr="00953DED">
          <w:rPr>
            <w:rStyle w:val="Hipervnculo"/>
            <w:rFonts w:ascii="Arial" w:hAnsi="Arial" w:cs="Arial"/>
            <w:iCs/>
            <w:sz w:val="24"/>
            <w:szCs w:val="24"/>
          </w:rPr>
          <w:t>Nuevas estimaciones de la riqueza regalada a las grandes empresas de la minería privada del cobre: Chile 2005-2015</w:t>
        </w:r>
      </w:hyperlink>
      <w:r w:rsidRPr="00953DED">
        <w:rPr>
          <w:rStyle w:val="nfasis"/>
          <w:rFonts w:ascii="Arial" w:hAnsi="Arial" w:cs="Arial"/>
          <w:sz w:val="24"/>
          <w:szCs w:val="24"/>
        </w:rPr>
        <w:t>”,</w:t>
      </w:r>
      <w:r>
        <w:rPr>
          <w:rStyle w:val="nfasis"/>
          <w:rFonts w:ascii="Arial" w:hAnsi="Arial" w:cs="Arial"/>
          <w:i w:val="0"/>
          <w:sz w:val="24"/>
          <w:szCs w:val="24"/>
        </w:rPr>
        <w:t xml:space="preserve"> los autores Ramón López, Gino </w:t>
      </w:r>
      <w:proofErr w:type="spellStart"/>
      <w:r>
        <w:rPr>
          <w:rStyle w:val="nfasis"/>
          <w:rFonts w:ascii="Arial" w:hAnsi="Arial" w:cs="Arial"/>
          <w:i w:val="0"/>
          <w:sz w:val="24"/>
          <w:szCs w:val="24"/>
        </w:rPr>
        <w:t>Sturla</w:t>
      </w:r>
      <w:proofErr w:type="spellEnd"/>
      <w:r>
        <w:rPr>
          <w:rStyle w:val="nfasis"/>
          <w:rFonts w:ascii="Arial" w:hAnsi="Arial" w:cs="Arial"/>
          <w:i w:val="0"/>
          <w:sz w:val="24"/>
          <w:szCs w:val="24"/>
        </w:rPr>
        <w:t xml:space="preserve">, Simón </w:t>
      </w:r>
      <w:proofErr w:type="spellStart"/>
      <w:r>
        <w:rPr>
          <w:rStyle w:val="nfasis"/>
          <w:rFonts w:ascii="Arial" w:hAnsi="Arial" w:cs="Arial"/>
          <w:i w:val="0"/>
          <w:sz w:val="24"/>
          <w:szCs w:val="24"/>
        </w:rPr>
        <w:t>Accorsi</w:t>
      </w:r>
      <w:proofErr w:type="spellEnd"/>
      <w:r>
        <w:rPr>
          <w:rStyle w:val="nfasis"/>
          <w:rFonts w:ascii="Arial" w:hAnsi="Arial" w:cs="Arial"/>
          <w:i w:val="0"/>
          <w:sz w:val="24"/>
          <w:szCs w:val="24"/>
        </w:rPr>
        <w:t xml:space="preserve"> y Eugenio Figueroa, de la Universidad de Chile, </w:t>
      </w:r>
      <w:r w:rsidR="00B2454E">
        <w:rPr>
          <w:rStyle w:val="nfasis"/>
          <w:rFonts w:ascii="Arial" w:hAnsi="Arial" w:cs="Arial"/>
          <w:i w:val="0"/>
          <w:sz w:val="24"/>
          <w:szCs w:val="24"/>
        </w:rPr>
        <w:t xml:space="preserve">plantean que las diez empresas del sector de la Gran Minería, excluido Codelco, han obtenido </w:t>
      </w:r>
      <w:r w:rsidR="00B2454E" w:rsidRPr="00B2454E">
        <w:rPr>
          <w:rStyle w:val="nfasis"/>
          <w:rFonts w:ascii="Arial" w:hAnsi="Arial" w:cs="Arial"/>
          <w:i w:val="0"/>
          <w:sz w:val="24"/>
          <w:szCs w:val="24"/>
        </w:rPr>
        <w:t>una renta económica de US$120 mil millones</w:t>
      </w:r>
      <w:r w:rsidR="00B2454E">
        <w:rPr>
          <w:rStyle w:val="nfasis"/>
          <w:rFonts w:ascii="Arial" w:hAnsi="Arial" w:cs="Arial"/>
          <w:i w:val="0"/>
          <w:sz w:val="24"/>
          <w:szCs w:val="24"/>
        </w:rPr>
        <w:t>, equivalente al 45% del PIB de 2014, en el decenio 20</w:t>
      </w:r>
      <w:r w:rsidR="00C23C24">
        <w:rPr>
          <w:rStyle w:val="nfasis"/>
          <w:rFonts w:ascii="Arial" w:hAnsi="Arial" w:cs="Arial"/>
          <w:i w:val="0"/>
          <w:sz w:val="24"/>
          <w:szCs w:val="24"/>
        </w:rPr>
        <w:t xml:space="preserve">05-2015; y una rentabilidad del 85% sobre el capital invertido, que no obtiene ningún negocio lícito, considerando que </w:t>
      </w:r>
      <w:r w:rsidR="009564F6">
        <w:rPr>
          <w:rStyle w:val="nfasis"/>
          <w:rFonts w:ascii="Arial" w:hAnsi="Arial" w:cs="Arial"/>
          <w:i w:val="0"/>
          <w:sz w:val="24"/>
          <w:szCs w:val="24"/>
        </w:rPr>
        <w:t xml:space="preserve">en el mismo período </w:t>
      </w:r>
      <w:r w:rsidR="00C23C24">
        <w:rPr>
          <w:rStyle w:val="nfasis"/>
          <w:rFonts w:ascii="Arial" w:hAnsi="Arial" w:cs="Arial"/>
          <w:i w:val="0"/>
          <w:sz w:val="24"/>
          <w:szCs w:val="24"/>
        </w:rPr>
        <w:t>l</w:t>
      </w:r>
      <w:r w:rsidR="00773A9B">
        <w:rPr>
          <w:rStyle w:val="nfasis"/>
          <w:rFonts w:ascii="Arial" w:hAnsi="Arial" w:cs="Arial"/>
          <w:i w:val="0"/>
          <w:sz w:val="24"/>
          <w:szCs w:val="24"/>
        </w:rPr>
        <w:t xml:space="preserve">os cuatro principales bancos tuvieron </w:t>
      </w:r>
      <w:r w:rsidR="009564F6">
        <w:rPr>
          <w:rStyle w:val="nfasis"/>
          <w:rFonts w:ascii="Arial" w:hAnsi="Arial" w:cs="Arial"/>
          <w:i w:val="0"/>
          <w:sz w:val="24"/>
          <w:szCs w:val="24"/>
        </w:rPr>
        <w:t>una rentabilidad de</w:t>
      </w:r>
      <w:r w:rsidR="00773A9B">
        <w:rPr>
          <w:rStyle w:val="nfasis"/>
          <w:rFonts w:ascii="Arial" w:hAnsi="Arial" w:cs="Arial"/>
          <w:i w:val="0"/>
          <w:sz w:val="24"/>
          <w:szCs w:val="24"/>
        </w:rPr>
        <w:t>l</w:t>
      </w:r>
      <w:r w:rsidR="009564F6">
        <w:rPr>
          <w:rStyle w:val="nfasis"/>
          <w:rFonts w:ascii="Arial" w:hAnsi="Arial" w:cs="Arial"/>
          <w:i w:val="0"/>
          <w:sz w:val="24"/>
          <w:szCs w:val="24"/>
        </w:rPr>
        <w:t xml:space="preserve"> 24% sobre el capital, y las </w:t>
      </w:r>
      <w:r w:rsidR="00DA05C9">
        <w:rPr>
          <w:rStyle w:val="nfasis"/>
          <w:rFonts w:ascii="Arial" w:hAnsi="Arial" w:cs="Arial"/>
          <w:i w:val="0"/>
          <w:sz w:val="24"/>
          <w:szCs w:val="24"/>
        </w:rPr>
        <w:t xml:space="preserve">seis </w:t>
      </w:r>
      <w:r w:rsidR="009564F6">
        <w:rPr>
          <w:rStyle w:val="nfasis"/>
          <w:rFonts w:ascii="Arial" w:hAnsi="Arial" w:cs="Arial"/>
          <w:i w:val="0"/>
          <w:sz w:val="24"/>
          <w:szCs w:val="24"/>
        </w:rPr>
        <w:t>AFP, del 26%</w:t>
      </w:r>
      <w:r w:rsidR="00B2454E" w:rsidRPr="00B2454E">
        <w:rPr>
          <w:rStyle w:val="nfasis"/>
          <w:rFonts w:ascii="Arial" w:hAnsi="Arial" w:cs="Arial"/>
          <w:i w:val="0"/>
          <w:sz w:val="24"/>
          <w:szCs w:val="24"/>
        </w:rPr>
        <w:t>.</w:t>
      </w:r>
    </w:p>
    <w:p w:rsidR="002576AC" w:rsidRDefault="00CA4EC6" w:rsidP="00CA4EC6">
      <w:pPr>
        <w:ind w:right="207"/>
        <w:rPr>
          <w:rFonts w:ascii="Arial" w:hAnsi="Arial" w:cs="Arial"/>
          <w:sz w:val="24"/>
          <w:szCs w:val="24"/>
        </w:rPr>
      </w:pPr>
      <w:r>
        <w:rPr>
          <w:rFonts w:ascii="Arial" w:hAnsi="Arial" w:cs="Arial"/>
          <w:sz w:val="24"/>
          <w:szCs w:val="24"/>
        </w:rPr>
        <w:t xml:space="preserve">Corregir estas anomalías constituye una tarea política de marca mayor, que probablemente no se alcanzará de manera independiente </w:t>
      </w:r>
      <w:r w:rsidR="00EA26D9">
        <w:rPr>
          <w:rFonts w:ascii="Arial" w:hAnsi="Arial" w:cs="Arial"/>
          <w:sz w:val="24"/>
          <w:szCs w:val="24"/>
        </w:rPr>
        <w:t xml:space="preserve">al cambio de paradigma de desarrollo. </w:t>
      </w:r>
    </w:p>
    <w:p w:rsidR="00CA4EC6" w:rsidRPr="00CA4EC6" w:rsidRDefault="00EA26D9" w:rsidP="00CA4EC6">
      <w:pPr>
        <w:ind w:right="207"/>
        <w:rPr>
          <w:rFonts w:ascii="Arial" w:hAnsi="Arial" w:cs="Arial"/>
          <w:sz w:val="24"/>
          <w:szCs w:val="24"/>
        </w:rPr>
      </w:pPr>
      <w:r>
        <w:rPr>
          <w:rFonts w:ascii="Arial" w:hAnsi="Arial" w:cs="Arial"/>
          <w:sz w:val="24"/>
          <w:szCs w:val="24"/>
        </w:rPr>
        <w:t xml:space="preserve">Por tanto, es, en estricto sentido,  un problema </w:t>
      </w:r>
      <w:r w:rsidR="00DA05C9">
        <w:rPr>
          <w:rFonts w:ascii="Arial" w:hAnsi="Arial" w:cs="Arial"/>
          <w:sz w:val="24"/>
          <w:szCs w:val="24"/>
        </w:rPr>
        <w:t xml:space="preserve">cuya resolución </w:t>
      </w:r>
      <w:r>
        <w:rPr>
          <w:rFonts w:ascii="Arial" w:hAnsi="Arial" w:cs="Arial"/>
          <w:sz w:val="24"/>
          <w:szCs w:val="24"/>
        </w:rPr>
        <w:t xml:space="preserve">depende de la correlación de fuerzas. </w:t>
      </w:r>
      <w:r w:rsidR="00CA4EC6" w:rsidRPr="00CA4EC6">
        <w:rPr>
          <w:rFonts w:ascii="Arial" w:hAnsi="Arial" w:cs="Arial"/>
          <w:sz w:val="24"/>
          <w:szCs w:val="24"/>
        </w:rPr>
        <w:t xml:space="preserve">  </w:t>
      </w:r>
    </w:p>
    <w:p w:rsidR="00CA4EC6" w:rsidRDefault="001442B4">
      <w:pPr>
        <w:rPr>
          <w:rFonts w:ascii="Arial" w:hAnsi="Arial" w:cs="Arial"/>
          <w:sz w:val="24"/>
          <w:szCs w:val="24"/>
        </w:rPr>
      </w:pPr>
      <w:r>
        <w:rPr>
          <w:rFonts w:ascii="Arial" w:hAnsi="Arial" w:cs="Arial"/>
          <w:sz w:val="24"/>
          <w:szCs w:val="24"/>
        </w:rPr>
        <w:t xml:space="preserve">En ese contexto, </w:t>
      </w:r>
      <w:r w:rsidR="00143CE5">
        <w:rPr>
          <w:rFonts w:ascii="Arial" w:hAnsi="Arial" w:cs="Arial"/>
          <w:sz w:val="24"/>
          <w:szCs w:val="24"/>
        </w:rPr>
        <w:t xml:space="preserve">y </w:t>
      </w:r>
      <w:r>
        <w:rPr>
          <w:rFonts w:ascii="Arial" w:hAnsi="Arial" w:cs="Arial"/>
          <w:sz w:val="24"/>
          <w:szCs w:val="24"/>
        </w:rPr>
        <w:t xml:space="preserve">sin perjuicio de dejar </w:t>
      </w:r>
      <w:r w:rsidR="00143CE5">
        <w:rPr>
          <w:rFonts w:ascii="Arial" w:hAnsi="Arial" w:cs="Arial"/>
          <w:sz w:val="24"/>
          <w:szCs w:val="24"/>
        </w:rPr>
        <w:t>establecido que el objetivo final consiste</w:t>
      </w:r>
      <w:r w:rsidR="00DA05C9">
        <w:rPr>
          <w:rFonts w:ascii="Arial" w:hAnsi="Arial" w:cs="Arial"/>
          <w:sz w:val="24"/>
          <w:szCs w:val="24"/>
        </w:rPr>
        <w:t xml:space="preserve">, invariablemente, </w:t>
      </w:r>
      <w:r w:rsidR="00143CE5">
        <w:rPr>
          <w:rFonts w:ascii="Arial" w:hAnsi="Arial" w:cs="Arial"/>
          <w:sz w:val="24"/>
          <w:szCs w:val="24"/>
        </w:rPr>
        <w:t xml:space="preserve">en la recuperación de la soberanía nacional en materia de recursos naturales, el programa de nuestros candidatos debe plantear metas progresivas, relacionadas </w:t>
      </w:r>
      <w:r>
        <w:rPr>
          <w:rFonts w:ascii="Arial" w:hAnsi="Arial" w:cs="Arial"/>
          <w:sz w:val="24"/>
          <w:szCs w:val="24"/>
        </w:rPr>
        <w:t xml:space="preserve"> </w:t>
      </w:r>
      <w:r w:rsidR="00143CE5">
        <w:rPr>
          <w:rFonts w:ascii="Arial" w:hAnsi="Arial" w:cs="Arial"/>
          <w:sz w:val="24"/>
          <w:szCs w:val="24"/>
        </w:rPr>
        <w:t xml:space="preserve">dialécticamente con las correlaciones de fuerza que se obtengan el 19 de noviembre. </w:t>
      </w:r>
    </w:p>
    <w:p w:rsidR="00143CE5" w:rsidRDefault="00143CE5">
      <w:pPr>
        <w:rPr>
          <w:rFonts w:ascii="Arial" w:hAnsi="Arial" w:cs="Arial"/>
          <w:sz w:val="24"/>
          <w:szCs w:val="24"/>
        </w:rPr>
      </w:pPr>
      <w:r>
        <w:rPr>
          <w:rFonts w:ascii="Arial" w:hAnsi="Arial" w:cs="Arial"/>
          <w:sz w:val="24"/>
          <w:szCs w:val="24"/>
        </w:rPr>
        <w:t xml:space="preserve">Y tal como sugiere el compañero José Moscoso, metas flexibles, </w:t>
      </w:r>
      <w:r w:rsidR="00847460">
        <w:rPr>
          <w:rFonts w:ascii="Arial" w:hAnsi="Arial" w:cs="Arial"/>
          <w:sz w:val="24"/>
          <w:szCs w:val="24"/>
        </w:rPr>
        <w:t xml:space="preserve">más </w:t>
      </w:r>
      <w:r>
        <w:rPr>
          <w:rFonts w:ascii="Arial" w:hAnsi="Arial" w:cs="Arial"/>
          <w:sz w:val="24"/>
          <w:szCs w:val="24"/>
        </w:rPr>
        <w:t xml:space="preserve">relacionadas con las mejores opciones concretas para el desarrollo del país, </w:t>
      </w:r>
      <w:r w:rsidR="00847460">
        <w:rPr>
          <w:rFonts w:ascii="Arial" w:hAnsi="Arial" w:cs="Arial"/>
          <w:sz w:val="24"/>
          <w:szCs w:val="24"/>
        </w:rPr>
        <w:t xml:space="preserve">que con </w:t>
      </w:r>
      <w:r>
        <w:rPr>
          <w:rFonts w:ascii="Arial" w:hAnsi="Arial" w:cs="Arial"/>
          <w:sz w:val="24"/>
          <w:szCs w:val="24"/>
        </w:rPr>
        <w:t xml:space="preserve">dogmas </w:t>
      </w:r>
      <w:r w:rsidR="009564F6">
        <w:rPr>
          <w:rFonts w:ascii="Arial" w:hAnsi="Arial" w:cs="Arial"/>
          <w:sz w:val="24"/>
          <w:szCs w:val="24"/>
        </w:rPr>
        <w:t>inmodificables</w:t>
      </w:r>
      <w:r w:rsidR="00847460">
        <w:rPr>
          <w:rFonts w:ascii="Arial" w:hAnsi="Arial" w:cs="Arial"/>
          <w:sz w:val="24"/>
          <w:szCs w:val="24"/>
        </w:rPr>
        <w:t xml:space="preserve"> o verdades reveladas</w:t>
      </w:r>
      <w:r w:rsidR="009564F6">
        <w:rPr>
          <w:rFonts w:ascii="Arial" w:hAnsi="Arial" w:cs="Arial"/>
          <w:sz w:val="24"/>
          <w:szCs w:val="24"/>
        </w:rPr>
        <w:t xml:space="preserve">, </w:t>
      </w:r>
      <w:r>
        <w:rPr>
          <w:rFonts w:ascii="Arial" w:hAnsi="Arial" w:cs="Arial"/>
          <w:sz w:val="24"/>
          <w:szCs w:val="24"/>
        </w:rPr>
        <w:t xml:space="preserve">de naturaleza ideológica. </w:t>
      </w:r>
    </w:p>
    <w:p w:rsidR="0069708B" w:rsidRDefault="0069708B">
      <w:pPr>
        <w:rPr>
          <w:rFonts w:ascii="Arial" w:hAnsi="Arial" w:cs="Arial"/>
          <w:sz w:val="24"/>
          <w:szCs w:val="24"/>
        </w:rPr>
      </w:pPr>
      <w:r>
        <w:rPr>
          <w:rFonts w:ascii="Arial" w:hAnsi="Arial" w:cs="Arial"/>
          <w:sz w:val="24"/>
          <w:szCs w:val="24"/>
        </w:rPr>
        <w:t>En definitiva, la diferencia de nuestro programa debe radicar en la percepción de su viabilidad</w:t>
      </w:r>
      <w:r w:rsidR="00BB75EE">
        <w:rPr>
          <w:rFonts w:ascii="Arial" w:hAnsi="Arial" w:cs="Arial"/>
          <w:sz w:val="24"/>
          <w:szCs w:val="24"/>
        </w:rPr>
        <w:t xml:space="preserve">, reforzada por el discurso de </w:t>
      </w:r>
      <w:r>
        <w:rPr>
          <w:rFonts w:ascii="Arial" w:hAnsi="Arial" w:cs="Arial"/>
          <w:sz w:val="24"/>
          <w:szCs w:val="24"/>
        </w:rPr>
        <w:t xml:space="preserve">la voluntad política de cumplirlo. </w:t>
      </w:r>
    </w:p>
    <w:p w:rsidR="0069708B" w:rsidRDefault="0069708B">
      <w:pPr>
        <w:rPr>
          <w:rFonts w:ascii="Arial" w:hAnsi="Arial" w:cs="Arial"/>
          <w:sz w:val="24"/>
          <w:szCs w:val="24"/>
        </w:rPr>
      </w:pPr>
      <w:r>
        <w:rPr>
          <w:rFonts w:ascii="Arial" w:hAnsi="Arial" w:cs="Arial"/>
          <w:sz w:val="24"/>
          <w:szCs w:val="24"/>
        </w:rPr>
        <w:t>Entre las medidas inmediatas, alcanzables con una correlación de fuerzas similar a la actual, se pueden plantear:</w:t>
      </w:r>
    </w:p>
    <w:p w:rsidR="0069708B" w:rsidRDefault="0069708B">
      <w:pPr>
        <w:rPr>
          <w:rFonts w:ascii="Arial" w:hAnsi="Arial" w:cs="Arial"/>
          <w:sz w:val="24"/>
          <w:szCs w:val="24"/>
        </w:rPr>
      </w:pPr>
      <w:r>
        <w:rPr>
          <w:rFonts w:ascii="Arial" w:hAnsi="Arial" w:cs="Arial"/>
          <w:sz w:val="24"/>
          <w:szCs w:val="24"/>
        </w:rPr>
        <w:t>- Prohibir la exportación de concentrados.</w:t>
      </w:r>
    </w:p>
    <w:p w:rsidR="00C5299F" w:rsidRDefault="00C5299F">
      <w:pPr>
        <w:rPr>
          <w:rFonts w:ascii="Arial" w:hAnsi="Arial" w:cs="Arial"/>
          <w:sz w:val="24"/>
          <w:szCs w:val="24"/>
        </w:rPr>
      </w:pPr>
      <w:r>
        <w:rPr>
          <w:rFonts w:ascii="Arial" w:hAnsi="Arial" w:cs="Arial"/>
          <w:sz w:val="24"/>
          <w:szCs w:val="24"/>
        </w:rPr>
        <w:t>- Terminar con la Ley Reservada del cobre</w:t>
      </w:r>
    </w:p>
    <w:p w:rsidR="0069708B" w:rsidRDefault="0069708B">
      <w:pPr>
        <w:rPr>
          <w:rFonts w:ascii="Arial" w:hAnsi="Arial" w:cs="Arial"/>
          <w:sz w:val="24"/>
          <w:szCs w:val="24"/>
        </w:rPr>
      </w:pPr>
      <w:r>
        <w:rPr>
          <w:rFonts w:ascii="Arial" w:hAnsi="Arial" w:cs="Arial"/>
          <w:sz w:val="24"/>
          <w:szCs w:val="24"/>
        </w:rPr>
        <w:t xml:space="preserve">- </w:t>
      </w:r>
      <w:r w:rsidR="00BB75EE">
        <w:rPr>
          <w:rFonts w:ascii="Arial" w:hAnsi="Arial" w:cs="Arial"/>
          <w:sz w:val="24"/>
          <w:szCs w:val="24"/>
        </w:rPr>
        <w:t>Mejorar la capacidad de regulación y fiscalización del Estado, de forma de reducir la evasión y elusión tributaria.</w:t>
      </w:r>
    </w:p>
    <w:p w:rsidR="00BB75EE" w:rsidRDefault="00BB75EE">
      <w:pPr>
        <w:rPr>
          <w:rFonts w:ascii="Arial" w:hAnsi="Arial" w:cs="Arial"/>
          <w:sz w:val="24"/>
          <w:szCs w:val="24"/>
        </w:rPr>
      </w:pPr>
      <w:r>
        <w:rPr>
          <w:rFonts w:ascii="Arial" w:hAnsi="Arial" w:cs="Arial"/>
          <w:sz w:val="24"/>
          <w:szCs w:val="24"/>
        </w:rPr>
        <w:lastRenderedPageBreak/>
        <w:t>- Establecer un royalty efectivo del 10% a las utilidades de las empresas del sector de la Gran Minería.</w:t>
      </w:r>
    </w:p>
    <w:p w:rsidR="00753096" w:rsidRDefault="00BB75EE">
      <w:pPr>
        <w:rPr>
          <w:rFonts w:ascii="Arial" w:hAnsi="Arial" w:cs="Arial"/>
          <w:sz w:val="24"/>
          <w:szCs w:val="24"/>
        </w:rPr>
      </w:pPr>
      <w:r>
        <w:rPr>
          <w:rFonts w:ascii="Arial" w:hAnsi="Arial" w:cs="Arial"/>
          <w:sz w:val="24"/>
          <w:szCs w:val="24"/>
        </w:rPr>
        <w:t>- Mantener las propuestas de los 21 compromisos</w:t>
      </w:r>
      <w:r w:rsidR="00DA05C9">
        <w:rPr>
          <w:rFonts w:ascii="Arial" w:hAnsi="Arial" w:cs="Arial"/>
          <w:sz w:val="24"/>
          <w:szCs w:val="24"/>
        </w:rPr>
        <w:t xml:space="preserve"> del diputado Carmona</w:t>
      </w:r>
      <w:r>
        <w:rPr>
          <w:rFonts w:ascii="Arial" w:hAnsi="Arial" w:cs="Arial"/>
          <w:sz w:val="24"/>
          <w:szCs w:val="24"/>
        </w:rPr>
        <w:t>, destacando aquellos aspectos donde se han registrado avances, tales como</w:t>
      </w:r>
      <w:r w:rsidR="00753096">
        <w:rPr>
          <w:rFonts w:ascii="Arial" w:hAnsi="Arial" w:cs="Arial"/>
          <w:sz w:val="24"/>
          <w:szCs w:val="24"/>
        </w:rPr>
        <w:t xml:space="preserve">: </w:t>
      </w:r>
    </w:p>
    <w:p w:rsidR="00753096" w:rsidRDefault="00753096" w:rsidP="00753096">
      <w:pPr>
        <w:ind w:left="708"/>
        <w:rPr>
          <w:rFonts w:ascii="Arial" w:hAnsi="Arial" w:cs="Arial"/>
          <w:sz w:val="24"/>
          <w:szCs w:val="24"/>
        </w:rPr>
      </w:pPr>
      <w:r>
        <w:rPr>
          <w:rFonts w:ascii="Arial" w:hAnsi="Arial" w:cs="Arial"/>
          <w:sz w:val="24"/>
          <w:szCs w:val="24"/>
        </w:rPr>
        <w:t xml:space="preserve">- </w:t>
      </w:r>
      <w:r w:rsidR="00847460">
        <w:rPr>
          <w:rFonts w:ascii="Arial" w:hAnsi="Arial" w:cs="Arial"/>
          <w:sz w:val="24"/>
          <w:szCs w:val="24"/>
        </w:rPr>
        <w:t>I</w:t>
      </w:r>
      <w:r w:rsidR="00BB75EE">
        <w:rPr>
          <w:rFonts w:ascii="Arial" w:hAnsi="Arial" w:cs="Arial"/>
          <w:sz w:val="24"/>
          <w:szCs w:val="24"/>
        </w:rPr>
        <w:t xml:space="preserve">nversión en la División Salvador; </w:t>
      </w:r>
    </w:p>
    <w:p w:rsidR="00753096" w:rsidRDefault="00753096" w:rsidP="00753096">
      <w:pPr>
        <w:ind w:left="708"/>
        <w:rPr>
          <w:rFonts w:ascii="Arial" w:hAnsi="Arial" w:cs="Arial"/>
          <w:sz w:val="24"/>
          <w:szCs w:val="24"/>
        </w:rPr>
      </w:pPr>
      <w:r>
        <w:rPr>
          <w:rFonts w:ascii="Arial" w:hAnsi="Arial" w:cs="Arial"/>
          <w:sz w:val="24"/>
          <w:szCs w:val="24"/>
        </w:rPr>
        <w:t xml:space="preserve">- </w:t>
      </w:r>
      <w:r w:rsidR="00847460">
        <w:rPr>
          <w:rFonts w:ascii="Arial" w:hAnsi="Arial" w:cs="Arial"/>
          <w:sz w:val="24"/>
          <w:szCs w:val="24"/>
        </w:rPr>
        <w:t>C</w:t>
      </w:r>
      <w:r w:rsidR="00BB75EE">
        <w:rPr>
          <w:rFonts w:ascii="Arial" w:hAnsi="Arial" w:cs="Arial"/>
          <w:sz w:val="24"/>
          <w:szCs w:val="24"/>
        </w:rPr>
        <w:t>reación de una planta de refin</w:t>
      </w:r>
      <w:r w:rsidR="00DA05C9">
        <w:rPr>
          <w:rFonts w:ascii="Arial" w:hAnsi="Arial" w:cs="Arial"/>
          <w:sz w:val="24"/>
          <w:szCs w:val="24"/>
        </w:rPr>
        <w:t xml:space="preserve">ación </w:t>
      </w:r>
      <w:r w:rsidR="00BB75EE">
        <w:rPr>
          <w:rFonts w:ascii="Arial" w:hAnsi="Arial" w:cs="Arial"/>
          <w:sz w:val="24"/>
          <w:szCs w:val="24"/>
        </w:rPr>
        <w:t xml:space="preserve">en Paipote; </w:t>
      </w:r>
    </w:p>
    <w:p w:rsidR="00753096" w:rsidRDefault="00753096" w:rsidP="00753096">
      <w:pPr>
        <w:ind w:left="708"/>
        <w:rPr>
          <w:rFonts w:ascii="Arial" w:hAnsi="Arial" w:cs="Arial"/>
          <w:sz w:val="24"/>
          <w:szCs w:val="24"/>
        </w:rPr>
      </w:pPr>
      <w:r>
        <w:rPr>
          <w:rFonts w:ascii="Arial" w:hAnsi="Arial" w:cs="Arial"/>
          <w:sz w:val="24"/>
          <w:szCs w:val="24"/>
        </w:rPr>
        <w:t xml:space="preserve">- </w:t>
      </w:r>
      <w:r w:rsidR="00847460">
        <w:rPr>
          <w:rFonts w:ascii="Arial" w:hAnsi="Arial" w:cs="Arial"/>
          <w:sz w:val="24"/>
          <w:szCs w:val="24"/>
        </w:rPr>
        <w:t>A</w:t>
      </w:r>
      <w:r w:rsidR="00BB75EE">
        <w:rPr>
          <w:rFonts w:ascii="Arial" w:hAnsi="Arial" w:cs="Arial"/>
          <w:sz w:val="24"/>
          <w:szCs w:val="24"/>
        </w:rPr>
        <w:t xml:space="preserve">mpliación de la Planta de Potrerillos; </w:t>
      </w:r>
    </w:p>
    <w:p w:rsidR="00BB75EE" w:rsidRDefault="00753096" w:rsidP="00753096">
      <w:pPr>
        <w:ind w:left="708"/>
        <w:rPr>
          <w:rFonts w:ascii="Arial" w:hAnsi="Arial" w:cs="Arial"/>
          <w:sz w:val="24"/>
          <w:szCs w:val="24"/>
        </w:rPr>
      </w:pPr>
      <w:r>
        <w:rPr>
          <w:rFonts w:ascii="Arial" w:hAnsi="Arial" w:cs="Arial"/>
          <w:sz w:val="24"/>
          <w:szCs w:val="24"/>
        </w:rPr>
        <w:t xml:space="preserve">- </w:t>
      </w:r>
      <w:r w:rsidR="00847460">
        <w:rPr>
          <w:rFonts w:ascii="Arial" w:hAnsi="Arial" w:cs="Arial"/>
          <w:sz w:val="24"/>
          <w:szCs w:val="24"/>
        </w:rPr>
        <w:t>M</w:t>
      </w:r>
      <w:r w:rsidR="00BB75EE">
        <w:rPr>
          <w:rFonts w:ascii="Arial" w:hAnsi="Arial" w:cs="Arial"/>
          <w:sz w:val="24"/>
          <w:szCs w:val="24"/>
        </w:rPr>
        <w:t xml:space="preserve">ejorar </w:t>
      </w:r>
      <w:r>
        <w:rPr>
          <w:rFonts w:ascii="Arial" w:hAnsi="Arial" w:cs="Arial"/>
          <w:sz w:val="24"/>
          <w:szCs w:val="24"/>
        </w:rPr>
        <w:t>la distribución del producto del cobre en las regiones que lo producen.</w:t>
      </w:r>
    </w:p>
    <w:p w:rsidR="00753096" w:rsidRDefault="00753096" w:rsidP="00753096">
      <w:pPr>
        <w:ind w:left="708"/>
        <w:rPr>
          <w:rFonts w:ascii="Arial" w:hAnsi="Arial" w:cs="Arial"/>
          <w:sz w:val="24"/>
          <w:szCs w:val="24"/>
        </w:rPr>
      </w:pPr>
      <w:r>
        <w:rPr>
          <w:rFonts w:ascii="Arial" w:hAnsi="Arial" w:cs="Arial"/>
          <w:sz w:val="24"/>
          <w:szCs w:val="24"/>
        </w:rPr>
        <w:t>- F</w:t>
      </w:r>
      <w:r w:rsidRPr="00753096">
        <w:rPr>
          <w:rFonts w:ascii="Arial" w:hAnsi="Arial" w:cs="Arial"/>
          <w:sz w:val="24"/>
          <w:szCs w:val="24"/>
        </w:rPr>
        <w:t xml:space="preserve">ortalecer CODELCO y ENAMI como empresas estatales que asuman nuevos desafíos, amplíen su capacidad de explotación de nuevos yacimientos, </w:t>
      </w:r>
      <w:r>
        <w:rPr>
          <w:rFonts w:ascii="Arial" w:hAnsi="Arial" w:cs="Arial"/>
          <w:sz w:val="24"/>
          <w:szCs w:val="24"/>
        </w:rPr>
        <w:t xml:space="preserve">y </w:t>
      </w:r>
      <w:r w:rsidRPr="00753096">
        <w:rPr>
          <w:rFonts w:ascii="Arial" w:hAnsi="Arial" w:cs="Arial"/>
          <w:sz w:val="24"/>
          <w:szCs w:val="24"/>
        </w:rPr>
        <w:t>asuman la refinación de todo el cobre producido en Chile, tanto por CODELCO como por las grandes empresas transnacionales</w:t>
      </w:r>
      <w:r>
        <w:rPr>
          <w:rFonts w:ascii="Arial" w:hAnsi="Arial" w:cs="Arial"/>
          <w:sz w:val="24"/>
          <w:szCs w:val="24"/>
        </w:rPr>
        <w:t>.</w:t>
      </w:r>
    </w:p>
    <w:p w:rsidR="00753096" w:rsidRDefault="00753096" w:rsidP="00753096">
      <w:pPr>
        <w:ind w:left="708"/>
        <w:rPr>
          <w:rFonts w:ascii="Arial" w:hAnsi="Arial" w:cs="Arial"/>
          <w:sz w:val="24"/>
          <w:szCs w:val="24"/>
        </w:rPr>
      </w:pPr>
      <w:r>
        <w:rPr>
          <w:rFonts w:ascii="Arial" w:hAnsi="Arial" w:cs="Arial"/>
          <w:sz w:val="24"/>
          <w:szCs w:val="24"/>
        </w:rPr>
        <w:t xml:space="preserve">- Reforzar el protagonismo de </w:t>
      </w:r>
      <w:r w:rsidRPr="00753096">
        <w:rPr>
          <w:rFonts w:ascii="Arial" w:hAnsi="Arial" w:cs="Arial"/>
          <w:sz w:val="24"/>
          <w:szCs w:val="24"/>
        </w:rPr>
        <w:t xml:space="preserve">ENAMI </w:t>
      </w:r>
      <w:r>
        <w:rPr>
          <w:rFonts w:ascii="Arial" w:hAnsi="Arial" w:cs="Arial"/>
          <w:sz w:val="24"/>
          <w:szCs w:val="24"/>
        </w:rPr>
        <w:t xml:space="preserve">en el apoyo </w:t>
      </w:r>
      <w:r w:rsidRPr="00753096">
        <w:rPr>
          <w:rFonts w:ascii="Arial" w:hAnsi="Arial" w:cs="Arial"/>
          <w:sz w:val="24"/>
          <w:szCs w:val="24"/>
        </w:rPr>
        <w:t>a apoyar a los pequeños mineros y pirquineros, brindando capacitación, tecnología, seguridad, y protección del medio ambiente. Se hace cada vez más necesario que ENAMI</w:t>
      </w:r>
      <w:r>
        <w:rPr>
          <w:rFonts w:ascii="Arial" w:hAnsi="Arial" w:cs="Arial"/>
          <w:sz w:val="24"/>
          <w:szCs w:val="24"/>
        </w:rPr>
        <w:t xml:space="preserve"> </w:t>
      </w:r>
      <w:r w:rsidRPr="00753096">
        <w:rPr>
          <w:rFonts w:ascii="Arial" w:hAnsi="Arial" w:cs="Arial"/>
          <w:sz w:val="24"/>
          <w:szCs w:val="24"/>
        </w:rPr>
        <w:t>eleve su rol de apoyo a los pirquineros, transportistas y productores relacionados con el sector minero</w:t>
      </w:r>
      <w:r>
        <w:rPr>
          <w:rFonts w:ascii="Arial" w:hAnsi="Arial" w:cs="Arial"/>
          <w:sz w:val="24"/>
          <w:szCs w:val="24"/>
        </w:rPr>
        <w:t xml:space="preserve">, conforme a su misión, que </w:t>
      </w:r>
      <w:r w:rsidRPr="00753096">
        <w:rPr>
          <w:rFonts w:ascii="Arial" w:hAnsi="Arial" w:cs="Arial"/>
          <w:sz w:val="24"/>
          <w:szCs w:val="24"/>
        </w:rPr>
        <w:t>reza: “ENAMI tiene por objeto fomentar el desarrollo de la minería de pequeña y mediana escala, brindando los servicios requeridos para acceder al mercado de metales refinados, en condiciones de competitividad“.</w:t>
      </w:r>
    </w:p>
    <w:p w:rsidR="007505F4" w:rsidRDefault="007505F4" w:rsidP="007505F4">
      <w:pPr>
        <w:rPr>
          <w:rFonts w:ascii="Arial" w:hAnsi="Arial" w:cs="Arial"/>
          <w:sz w:val="24"/>
          <w:szCs w:val="24"/>
        </w:rPr>
      </w:pPr>
      <w:r>
        <w:rPr>
          <w:rFonts w:ascii="Arial" w:hAnsi="Arial" w:cs="Arial"/>
          <w:sz w:val="24"/>
          <w:szCs w:val="24"/>
        </w:rPr>
        <w:t xml:space="preserve">Un segundo grupo de propuestas más ambiciosas, requiere una mejor correlación de fuerzas en el parlamento. </w:t>
      </w:r>
    </w:p>
    <w:p w:rsidR="007505F4" w:rsidRDefault="007505F4" w:rsidP="007505F4">
      <w:pPr>
        <w:rPr>
          <w:rFonts w:ascii="Arial" w:hAnsi="Arial" w:cs="Arial"/>
          <w:sz w:val="24"/>
          <w:szCs w:val="24"/>
        </w:rPr>
      </w:pPr>
      <w:r>
        <w:rPr>
          <w:rFonts w:ascii="Arial" w:hAnsi="Arial" w:cs="Arial"/>
          <w:sz w:val="24"/>
          <w:szCs w:val="24"/>
        </w:rPr>
        <w:t xml:space="preserve">Entre ellas: </w:t>
      </w:r>
    </w:p>
    <w:p w:rsidR="007505F4" w:rsidRDefault="007505F4" w:rsidP="007505F4">
      <w:pPr>
        <w:rPr>
          <w:rFonts w:ascii="Arial" w:hAnsi="Arial" w:cs="Arial"/>
          <w:sz w:val="24"/>
          <w:szCs w:val="24"/>
        </w:rPr>
      </w:pPr>
      <w:r>
        <w:rPr>
          <w:rFonts w:ascii="Arial" w:hAnsi="Arial" w:cs="Arial"/>
          <w:sz w:val="24"/>
          <w:szCs w:val="24"/>
        </w:rPr>
        <w:t>- Recuperación del papel del Estado en la formación de precios, mediante la capacidad de regular la producción.</w:t>
      </w:r>
    </w:p>
    <w:p w:rsidR="009564F6" w:rsidRDefault="007505F4" w:rsidP="007505F4">
      <w:pPr>
        <w:rPr>
          <w:rFonts w:ascii="Arial" w:hAnsi="Arial" w:cs="Arial"/>
          <w:sz w:val="24"/>
          <w:szCs w:val="24"/>
        </w:rPr>
      </w:pPr>
      <w:r>
        <w:rPr>
          <w:rFonts w:ascii="Arial" w:hAnsi="Arial" w:cs="Arial"/>
          <w:sz w:val="24"/>
          <w:szCs w:val="24"/>
        </w:rPr>
        <w:t>- Propender a que la mayor parte de la renta minera se quede en el país, a través de medidas indirectas, tales como terminar con el subcontrato en el cobre</w:t>
      </w:r>
      <w:r w:rsidR="00953DED">
        <w:rPr>
          <w:rFonts w:ascii="Arial" w:hAnsi="Arial" w:cs="Arial"/>
          <w:sz w:val="24"/>
          <w:szCs w:val="24"/>
        </w:rPr>
        <w:t>, que busca reducir la participación del trabajo en el producto minero</w:t>
      </w:r>
      <w:r w:rsidR="009564F6">
        <w:rPr>
          <w:rFonts w:ascii="Arial" w:hAnsi="Arial" w:cs="Arial"/>
          <w:sz w:val="24"/>
          <w:szCs w:val="24"/>
        </w:rPr>
        <w:t xml:space="preserve">; o subsidiar intensivamente la agregación de valor en el país. </w:t>
      </w:r>
    </w:p>
    <w:p w:rsidR="009564F6" w:rsidRDefault="009564F6" w:rsidP="007505F4">
      <w:pPr>
        <w:rPr>
          <w:rFonts w:ascii="Arial" w:hAnsi="Arial" w:cs="Arial"/>
          <w:sz w:val="24"/>
          <w:szCs w:val="24"/>
        </w:rPr>
      </w:pPr>
      <w:r>
        <w:rPr>
          <w:rFonts w:ascii="Arial" w:hAnsi="Arial" w:cs="Arial"/>
          <w:sz w:val="24"/>
          <w:szCs w:val="24"/>
        </w:rPr>
        <w:t xml:space="preserve">- Terminar con la invariabilidad tributaria </w:t>
      </w:r>
      <w:r w:rsidRPr="009564F6">
        <w:rPr>
          <w:rFonts w:ascii="Arial" w:hAnsi="Arial" w:cs="Arial"/>
          <w:sz w:val="24"/>
          <w:szCs w:val="24"/>
        </w:rPr>
        <w:t xml:space="preserve">a la cual se comprometieron gobiernos </w:t>
      </w:r>
      <w:r>
        <w:rPr>
          <w:rFonts w:ascii="Arial" w:hAnsi="Arial" w:cs="Arial"/>
          <w:sz w:val="24"/>
          <w:szCs w:val="24"/>
        </w:rPr>
        <w:t xml:space="preserve">de </w:t>
      </w:r>
      <w:r w:rsidRPr="009564F6">
        <w:rPr>
          <w:rFonts w:ascii="Arial" w:hAnsi="Arial" w:cs="Arial"/>
          <w:sz w:val="24"/>
          <w:szCs w:val="24"/>
        </w:rPr>
        <w:t>anteriores</w:t>
      </w:r>
      <w:r>
        <w:rPr>
          <w:rFonts w:ascii="Arial" w:hAnsi="Arial" w:cs="Arial"/>
          <w:sz w:val="24"/>
          <w:szCs w:val="24"/>
        </w:rPr>
        <w:t xml:space="preserve">, que asegura </w:t>
      </w:r>
      <w:r w:rsidRPr="009564F6">
        <w:rPr>
          <w:rFonts w:ascii="Arial" w:hAnsi="Arial" w:cs="Arial"/>
          <w:sz w:val="24"/>
          <w:szCs w:val="24"/>
        </w:rPr>
        <w:t xml:space="preserve">a las empresas que no se </w:t>
      </w:r>
      <w:r>
        <w:rPr>
          <w:rFonts w:ascii="Arial" w:hAnsi="Arial" w:cs="Arial"/>
          <w:sz w:val="24"/>
          <w:szCs w:val="24"/>
        </w:rPr>
        <w:t xml:space="preserve">modificarán </w:t>
      </w:r>
      <w:r w:rsidRPr="009564F6">
        <w:rPr>
          <w:rFonts w:ascii="Arial" w:hAnsi="Arial" w:cs="Arial"/>
          <w:sz w:val="24"/>
          <w:szCs w:val="24"/>
        </w:rPr>
        <w:t xml:space="preserve">el royalty a la </w:t>
      </w:r>
      <w:r w:rsidRPr="009564F6">
        <w:rPr>
          <w:rFonts w:ascii="Arial" w:hAnsi="Arial" w:cs="Arial"/>
          <w:sz w:val="24"/>
          <w:szCs w:val="24"/>
        </w:rPr>
        <w:lastRenderedPageBreak/>
        <w:t>minería, las patentes mineras y no se podrá incorporar tributos específicos adicionales a la minería hasta el año 2023</w:t>
      </w:r>
      <w:r>
        <w:rPr>
          <w:rFonts w:ascii="Arial" w:hAnsi="Arial" w:cs="Arial"/>
          <w:sz w:val="24"/>
          <w:szCs w:val="24"/>
        </w:rPr>
        <w:t>.</w:t>
      </w:r>
      <w:r w:rsidR="00953DED">
        <w:rPr>
          <w:rFonts w:ascii="Arial" w:hAnsi="Arial" w:cs="Arial"/>
          <w:sz w:val="24"/>
          <w:szCs w:val="24"/>
        </w:rPr>
        <w:t xml:space="preserve"> </w:t>
      </w:r>
    </w:p>
    <w:p w:rsidR="007505F4" w:rsidRDefault="007505F4" w:rsidP="007505F4">
      <w:pPr>
        <w:rPr>
          <w:rFonts w:ascii="Arial" w:hAnsi="Arial" w:cs="Arial"/>
          <w:sz w:val="24"/>
          <w:szCs w:val="24"/>
        </w:rPr>
      </w:pPr>
      <w:r>
        <w:rPr>
          <w:rFonts w:ascii="Arial" w:hAnsi="Arial" w:cs="Arial"/>
          <w:sz w:val="24"/>
          <w:szCs w:val="24"/>
        </w:rPr>
        <w:t>- Elevar sustantivamente la tributación minera, con nítida diferenciación entre la pequeña y mediana minería, y la Gran Minería.</w:t>
      </w:r>
    </w:p>
    <w:p w:rsidR="009564F6" w:rsidRDefault="00DA05C9" w:rsidP="007505F4">
      <w:pPr>
        <w:rPr>
          <w:rFonts w:ascii="Arial" w:hAnsi="Arial" w:cs="Arial"/>
          <w:sz w:val="24"/>
          <w:szCs w:val="24"/>
        </w:rPr>
      </w:pPr>
      <w:r>
        <w:rPr>
          <w:rFonts w:ascii="Arial" w:hAnsi="Arial" w:cs="Arial"/>
          <w:sz w:val="24"/>
          <w:szCs w:val="24"/>
        </w:rPr>
        <w:t xml:space="preserve">- </w:t>
      </w:r>
      <w:r w:rsidR="009564F6">
        <w:rPr>
          <w:rFonts w:ascii="Arial" w:hAnsi="Arial" w:cs="Arial"/>
          <w:sz w:val="24"/>
          <w:szCs w:val="24"/>
        </w:rPr>
        <w:t xml:space="preserve">Sobre la base del estudio mencionado, los autores López y </w:t>
      </w:r>
      <w:proofErr w:type="spellStart"/>
      <w:r w:rsidR="009564F6">
        <w:rPr>
          <w:rFonts w:ascii="Arial" w:hAnsi="Arial" w:cs="Arial"/>
          <w:sz w:val="24"/>
          <w:szCs w:val="24"/>
        </w:rPr>
        <w:t>Sturla</w:t>
      </w:r>
      <w:proofErr w:type="spellEnd"/>
      <w:r w:rsidR="009564F6">
        <w:rPr>
          <w:rFonts w:ascii="Arial" w:hAnsi="Arial" w:cs="Arial"/>
          <w:sz w:val="24"/>
          <w:szCs w:val="24"/>
        </w:rPr>
        <w:t xml:space="preserve"> </w:t>
      </w:r>
      <w:r w:rsidR="00A4210C" w:rsidRPr="00A4210C">
        <w:rPr>
          <w:rFonts w:ascii="Arial" w:hAnsi="Arial" w:cs="Arial"/>
          <w:sz w:val="24"/>
          <w:szCs w:val="24"/>
        </w:rPr>
        <w:t>proponen, en el largo plazo, un nuevo impuesto único de</w:t>
      </w:r>
      <w:r w:rsidR="00A4210C">
        <w:rPr>
          <w:rFonts w:ascii="Arial" w:hAnsi="Arial" w:cs="Arial"/>
          <w:sz w:val="24"/>
          <w:szCs w:val="24"/>
        </w:rPr>
        <w:t xml:space="preserve">l </w:t>
      </w:r>
      <w:r w:rsidR="00A4210C" w:rsidRPr="00A4210C">
        <w:rPr>
          <w:rFonts w:ascii="Arial" w:hAnsi="Arial" w:cs="Arial"/>
          <w:sz w:val="24"/>
          <w:szCs w:val="24"/>
        </w:rPr>
        <w:t>70% sobre las ganancias netas una vez que la invariabilidad tributaria expire en el año 2023. Para el corto plazo sugieren una sobretasa impositiva de 4</w:t>
      </w:r>
      <w:r w:rsidR="00773A9B">
        <w:rPr>
          <w:rFonts w:ascii="Arial" w:hAnsi="Arial" w:cs="Arial"/>
          <w:sz w:val="24"/>
          <w:szCs w:val="24"/>
        </w:rPr>
        <w:t>0</w:t>
      </w:r>
      <w:r w:rsidR="00A4210C" w:rsidRPr="00A4210C">
        <w:rPr>
          <w:rFonts w:ascii="Arial" w:hAnsi="Arial" w:cs="Arial"/>
          <w:sz w:val="24"/>
          <w:szCs w:val="24"/>
        </w:rPr>
        <w:t>% sobre las ganancias netas excesivas a partir del año 2018</w:t>
      </w:r>
      <w:r w:rsidR="00773A9B">
        <w:rPr>
          <w:rFonts w:ascii="Arial" w:hAnsi="Arial" w:cs="Arial"/>
          <w:sz w:val="24"/>
          <w:szCs w:val="24"/>
        </w:rPr>
        <w:t>. Aseguran que aún con esa tributación, las empresas transnacionales no abandonarán sus proyectos de cobre en Chile, porque seguirá</w:t>
      </w:r>
      <w:r>
        <w:rPr>
          <w:rFonts w:ascii="Arial" w:hAnsi="Arial" w:cs="Arial"/>
          <w:sz w:val="24"/>
          <w:szCs w:val="24"/>
        </w:rPr>
        <w:t>n</w:t>
      </w:r>
      <w:r w:rsidR="00773A9B">
        <w:rPr>
          <w:rFonts w:ascii="Arial" w:hAnsi="Arial" w:cs="Arial"/>
          <w:sz w:val="24"/>
          <w:szCs w:val="24"/>
        </w:rPr>
        <w:t xml:space="preserve"> siendo un buen negocio. </w:t>
      </w:r>
      <w:r>
        <w:rPr>
          <w:rFonts w:ascii="Arial" w:hAnsi="Arial" w:cs="Arial"/>
          <w:sz w:val="24"/>
          <w:szCs w:val="24"/>
        </w:rPr>
        <w:t>Este documento sugiere hacer nuestra esta propuesta.</w:t>
      </w:r>
    </w:p>
    <w:p w:rsidR="00847460" w:rsidRDefault="00DA05C9" w:rsidP="007505F4">
      <w:pPr>
        <w:rPr>
          <w:rFonts w:ascii="Arial" w:hAnsi="Arial" w:cs="Arial"/>
          <w:sz w:val="24"/>
          <w:szCs w:val="24"/>
        </w:rPr>
      </w:pPr>
      <w:r>
        <w:rPr>
          <w:rFonts w:ascii="Arial" w:hAnsi="Arial" w:cs="Arial"/>
          <w:sz w:val="24"/>
          <w:szCs w:val="24"/>
        </w:rPr>
        <w:t>El tercer grupo de propuestas se inscribe en plazos mayores</w:t>
      </w:r>
      <w:r w:rsidR="00847460">
        <w:rPr>
          <w:rFonts w:ascii="Arial" w:hAnsi="Arial" w:cs="Arial"/>
          <w:sz w:val="24"/>
          <w:szCs w:val="24"/>
        </w:rPr>
        <w:t xml:space="preserve">; y probablemente no se lograrán </w:t>
      </w:r>
      <w:r w:rsidR="00EE3851">
        <w:rPr>
          <w:rFonts w:ascii="Arial" w:hAnsi="Arial" w:cs="Arial"/>
          <w:sz w:val="24"/>
          <w:szCs w:val="24"/>
        </w:rPr>
        <w:t>sin haber alcanzado antes e</w:t>
      </w:r>
      <w:r>
        <w:rPr>
          <w:rFonts w:ascii="Arial" w:hAnsi="Arial" w:cs="Arial"/>
          <w:sz w:val="24"/>
          <w:szCs w:val="24"/>
        </w:rPr>
        <w:t xml:space="preserve">l estadio post neoliberal. </w:t>
      </w:r>
    </w:p>
    <w:p w:rsidR="00DA05C9" w:rsidRDefault="00DA05C9" w:rsidP="007505F4">
      <w:pPr>
        <w:rPr>
          <w:rFonts w:ascii="Arial" w:hAnsi="Arial" w:cs="Arial"/>
          <w:sz w:val="24"/>
          <w:szCs w:val="24"/>
        </w:rPr>
      </w:pPr>
      <w:r>
        <w:rPr>
          <w:rFonts w:ascii="Arial" w:hAnsi="Arial" w:cs="Arial"/>
          <w:sz w:val="24"/>
          <w:szCs w:val="24"/>
        </w:rPr>
        <w:t xml:space="preserve">Sin embargo, </w:t>
      </w:r>
      <w:r w:rsidR="00EE3851">
        <w:rPr>
          <w:rFonts w:ascii="Arial" w:hAnsi="Arial" w:cs="Arial"/>
          <w:sz w:val="24"/>
          <w:szCs w:val="24"/>
        </w:rPr>
        <w:t>una campaña política es el espacio idóneo para debatir acerca de la necesidad de impulsar una Política Nacional para el Cobre, que le dé continuidad a la nacionalización de la Gran Minería del Cobre, establecida en la Ley 17.450, aprobada por la unanimidad del Parlamento, el 11 de julio de 1971.</w:t>
      </w:r>
    </w:p>
    <w:p w:rsidR="00EE3851" w:rsidRDefault="00EE3851" w:rsidP="007505F4">
      <w:pPr>
        <w:rPr>
          <w:rFonts w:ascii="Arial" w:hAnsi="Arial" w:cs="Arial"/>
          <w:sz w:val="24"/>
          <w:szCs w:val="24"/>
        </w:rPr>
      </w:pPr>
      <w:r>
        <w:rPr>
          <w:rFonts w:ascii="Arial" w:hAnsi="Arial" w:cs="Arial"/>
          <w:sz w:val="24"/>
          <w:szCs w:val="24"/>
        </w:rPr>
        <w:t>Entre este grupo de propuestas cabe destacar:</w:t>
      </w:r>
    </w:p>
    <w:p w:rsidR="006A3161" w:rsidRDefault="00EE3851" w:rsidP="007505F4">
      <w:pPr>
        <w:rPr>
          <w:rFonts w:ascii="Arial" w:hAnsi="Arial" w:cs="Arial"/>
          <w:sz w:val="24"/>
          <w:szCs w:val="24"/>
        </w:rPr>
      </w:pPr>
      <w:r>
        <w:rPr>
          <w:rFonts w:ascii="Arial" w:hAnsi="Arial" w:cs="Arial"/>
          <w:sz w:val="24"/>
          <w:szCs w:val="24"/>
        </w:rPr>
        <w:t>- Recuperar la propiedad de los yacimientos</w:t>
      </w:r>
      <w:r w:rsidR="009D0B65">
        <w:rPr>
          <w:rFonts w:ascii="Arial" w:hAnsi="Arial" w:cs="Arial"/>
          <w:sz w:val="24"/>
          <w:szCs w:val="24"/>
        </w:rPr>
        <w:t xml:space="preserve"> de la Gran Minería del Cobre</w:t>
      </w:r>
      <w:r>
        <w:rPr>
          <w:rFonts w:ascii="Arial" w:hAnsi="Arial" w:cs="Arial"/>
          <w:sz w:val="24"/>
          <w:szCs w:val="24"/>
        </w:rPr>
        <w:t>,</w:t>
      </w:r>
      <w:r w:rsidR="009D0B65">
        <w:rPr>
          <w:rFonts w:ascii="Arial" w:hAnsi="Arial" w:cs="Arial"/>
          <w:sz w:val="24"/>
          <w:szCs w:val="24"/>
        </w:rPr>
        <w:t xml:space="preserve"> de forma de hacer real el artículo 1 del mismísimo Código de Minería de la dictadura, así como </w:t>
      </w:r>
      <w:r w:rsidR="009D0B65">
        <w:rPr>
          <w:rFonts w:ascii="Arial" w:hAnsi="Arial" w:cs="Arial"/>
        </w:rPr>
        <w:t xml:space="preserve">el </w:t>
      </w:r>
      <w:r w:rsidR="009D0B65" w:rsidRPr="009D0B65">
        <w:rPr>
          <w:rFonts w:ascii="Arial" w:hAnsi="Arial" w:cs="Arial"/>
          <w:sz w:val="24"/>
          <w:szCs w:val="24"/>
        </w:rPr>
        <w:t>inciso sexto del N° 24 del artículo 19, de la Constitución Política de la República,</w:t>
      </w:r>
      <w:r w:rsidR="009D0B65">
        <w:rPr>
          <w:rFonts w:ascii="Arial" w:hAnsi="Arial" w:cs="Arial"/>
        </w:rPr>
        <w:t xml:space="preserve"> </w:t>
      </w:r>
      <w:r w:rsidR="009D0B65">
        <w:rPr>
          <w:rFonts w:ascii="Arial" w:hAnsi="Arial" w:cs="Arial"/>
          <w:sz w:val="24"/>
          <w:szCs w:val="24"/>
        </w:rPr>
        <w:t xml:space="preserve">que reza: </w:t>
      </w:r>
      <w:r w:rsidR="009D0B65" w:rsidRPr="009D0B65">
        <w:rPr>
          <w:rFonts w:ascii="Arial" w:hAnsi="Arial" w:cs="Arial"/>
          <w:sz w:val="24"/>
          <w:szCs w:val="24"/>
        </w:rPr>
        <w:t xml:space="preserve">"El Estado tiene el dominio absoluto, exclusivo, inalienable e imprescriptible de todas las minas, comprendiéndose en éstas las covaderas, las arenas metalíferas, los salares, los depósitos de carbón e hidrocarburos y las demás sustancias fósiles, con excepción de las arcillas superficiales, no obstante la propiedad de las personas naturales o jurídicas sobre los terrenos en cuyas entrañas estuvieren situadas".  </w:t>
      </w:r>
      <w:r w:rsidR="006A3161">
        <w:rPr>
          <w:rStyle w:val="Refdenotaalfinal"/>
          <w:rFonts w:ascii="Arial" w:hAnsi="Arial" w:cs="Arial"/>
          <w:sz w:val="24"/>
          <w:szCs w:val="24"/>
        </w:rPr>
        <w:endnoteReference w:id="1"/>
      </w:r>
    </w:p>
    <w:p w:rsidR="00DA05C9" w:rsidRDefault="009D0B65" w:rsidP="007505F4">
      <w:pPr>
        <w:rPr>
          <w:rFonts w:ascii="Arial" w:hAnsi="Arial" w:cs="Arial"/>
          <w:sz w:val="24"/>
          <w:szCs w:val="24"/>
        </w:rPr>
      </w:pPr>
      <w:r>
        <w:rPr>
          <w:rFonts w:ascii="Arial" w:hAnsi="Arial" w:cs="Arial"/>
          <w:sz w:val="24"/>
          <w:szCs w:val="24"/>
        </w:rPr>
        <w:t xml:space="preserve">- </w:t>
      </w:r>
      <w:r w:rsidR="00EF6C08">
        <w:rPr>
          <w:rFonts w:ascii="Arial" w:hAnsi="Arial" w:cs="Arial"/>
          <w:sz w:val="24"/>
          <w:szCs w:val="24"/>
        </w:rPr>
        <w:t xml:space="preserve">Según el abogado y economista Julián </w:t>
      </w:r>
      <w:proofErr w:type="spellStart"/>
      <w:r w:rsidR="00EF6C08">
        <w:rPr>
          <w:rFonts w:ascii="Arial" w:hAnsi="Arial" w:cs="Arial"/>
          <w:sz w:val="24"/>
          <w:szCs w:val="24"/>
        </w:rPr>
        <w:t>Alcayaga</w:t>
      </w:r>
      <w:proofErr w:type="spellEnd"/>
      <w:r w:rsidR="00EF6C08">
        <w:rPr>
          <w:rFonts w:ascii="Arial" w:hAnsi="Arial" w:cs="Arial"/>
          <w:sz w:val="24"/>
          <w:szCs w:val="24"/>
        </w:rPr>
        <w:t xml:space="preserve">, ex Presidente del Comité de Defensa y Recuperación del Cobre, en virtud de </w:t>
      </w:r>
      <w:r w:rsidR="00EF6C08" w:rsidRPr="00EF6C08">
        <w:rPr>
          <w:rFonts w:ascii="Arial" w:hAnsi="Arial" w:cs="Arial"/>
          <w:sz w:val="24"/>
          <w:szCs w:val="24"/>
        </w:rPr>
        <w:t xml:space="preserve">las disposiciones constitucionales vigentes, ni siquiera </w:t>
      </w:r>
      <w:r w:rsidR="00EF6C08">
        <w:rPr>
          <w:rFonts w:ascii="Arial" w:hAnsi="Arial" w:cs="Arial"/>
          <w:sz w:val="24"/>
          <w:szCs w:val="24"/>
        </w:rPr>
        <w:t xml:space="preserve">sería </w:t>
      </w:r>
      <w:r w:rsidR="00EF6C08" w:rsidRPr="00EF6C08">
        <w:rPr>
          <w:rFonts w:ascii="Arial" w:hAnsi="Arial" w:cs="Arial"/>
          <w:sz w:val="24"/>
          <w:szCs w:val="24"/>
        </w:rPr>
        <w:t>necesaria una ley para llevar a cabo la nacionalización de cualquier empresa de la gran minería del cobre</w:t>
      </w:r>
      <w:r w:rsidR="00EF6C08">
        <w:rPr>
          <w:rFonts w:ascii="Arial" w:hAnsi="Arial" w:cs="Arial"/>
          <w:sz w:val="24"/>
          <w:szCs w:val="24"/>
        </w:rPr>
        <w:t xml:space="preserve">, bastando para ello que </w:t>
      </w:r>
      <w:r w:rsidR="00EF6C08" w:rsidRPr="00EF6C08">
        <w:rPr>
          <w:rFonts w:ascii="Arial" w:hAnsi="Arial" w:cs="Arial"/>
          <w:sz w:val="24"/>
          <w:szCs w:val="24"/>
        </w:rPr>
        <w:t xml:space="preserve">el Presidente de la República determine la oportunidad para tomar posesión de </w:t>
      </w:r>
      <w:r w:rsidR="00EF6C08">
        <w:rPr>
          <w:rFonts w:ascii="Arial" w:hAnsi="Arial" w:cs="Arial"/>
          <w:sz w:val="24"/>
          <w:szCs w:val="24"/>
        </w:rPr>
        <w:t xml:space="preserve">ella, </w:t>
      </w:r>
      <w:r w:rsidR="00EF6C08" w:rsidRPr="00EF6C08">
        <w:rPr>
          <w:rFonts w:ascii="Arial" w:hAnsi="Arial" w:cs="Arial"/>
          <w:sz w:val="24"/>
          <w:szCs w:val="24"/>
        </w:rPr>
        <w:t>mediante la dictación de un simple decreto presidencial</w:t>
      </w:r>
      <w:r w:rsidR="00EF6C08">
        <w:rPr>
          <w:rFonts w:ascii="Arial" w:hAnsi="Arial" w:cs="Arial"/>
          <w:sz w:val="24"/>
          <w:szCs w:val="24"/>
        </w:rPr>
        <w:t xml:space="preserve">. </w:t>
      </w:r>
    </w:p>
    <w:p w:rsidR="00EF6C08" w:rsidRDefault="00EF6C08" w:rsidP="00783291">
      <w:pPr>
        <w:rPr>
          <w:rFonts w:ascii="Arial" w:hAnsi="Arial" w:cs="Arial"/>
          <w:sz w:val="24"/>
          <w:szCs w:val="24"/>
        </w:rPr>
      </w:pPr>
      <w:r>
        <w:rPr>
          <w:rFonts w:ascii="Arial" w:hAnsi="Arial" w:cs="Arial"/>
          <w:sz w:val="24"/>
          <w:szCs w:val="24"/>
        </w:rPr>
        <w:t xml:space="preserve">- Según este mismo autor, no correspondería indemnizar a las empresas de la Gran Minería objetos de la renacionalización, no sólo por la renta excesiva </w:t>
      </w:r>
      <w:r>
        <w:rPr>
          <w:rFonts w:ascii="Arial" w:hAnsi="Arial" w:cs="Arial"/>
          <w:sz w:val="24"/>
          <w:szCs w:val="24"/>
        </w:rPr>
        <w:lastRenderedPageBreak/>
        <w:t xml:space="preserve">obtenida por ellas, sino por lo dispuesto </w:t>
      </w:r>
      <w:r w:rsidR="00783291">
        <w:rPr>
          <w:rFonts w:ascii="Arial" w:hAnsi="Arial" w:cs="Arial"/>
          <w:sz w:val="24"/>
          <w:szCs w:val="24"/>
        </w:rPr>
        <w:t xml:space="preserve">en el </w:t>
      </w:r>
      <w:r w:rsidR="00783291" w:rsidRPr="00783291">
        <w:rPr>
          <w:rFonts w:ascii="Arial" w:hAnsi="Arial" w:cs="Arial"/>
          <w:sz w:val="24"/>
          <w:szCs w:val="24"/>
        </w:rPr>
        <w:t>inciso quinto de la letra a) de la Disposición 17º de la Constitución de 1925, vigente en la Constitución de 1980, que dice:</w:t>
      </w:r>
      <w:r w:rsidR="00783291">
        <w:rPr>
          <w:rFonts w:ascii="Arial" w:hAnsi="Arial" w:cs="Arial"/>
          <w:sz w:val="24"/>
          <w:szCs w:val="24"/>
        </w:rPr>
        <w:t xml:space="preserve"> </w:t>
      </w:r>
      <w:r w:rsidR="00783291" w:rsidRPr="00783291">
        <w:rPr>
          <w:rFonts w:ascii="Arial" w:hAnsi="Arial" w:cs="Arial"/>
          <w:sz w:val="24"/>
          <w:szCs w:val="24"/>
        </w:rPr>
        <w:t>“En conformidad a lo dispuesto en el inciso cuarto del N° 10° del artículo 10 no habrá lugar a indemnización alguna por los derechos sobre yacimientos mineros. Dichos derechos serán inscritos sin otro trámite a nombre del Estado”.</w:t>
      </w:r>
      <w:r>
        <w:rPr>
          <w:rFonts w:ascii="Arial" w:hAnsi="Arial" w:cs="Arial"/>
          <w:sz w:val="24"/>
          <w:szCs w:val="24"/>
        </w:rPr>
        <w:t xml:space="preserve"> </w:t>
      </w:r>
    </w:p>
    <w:p w:rsidR="009A0093" w:rsidRDefault="00783291" w:rsidP="00783291">
      <w:pPr>
        <w:rPr>
          <w:rFonts w:ascii="Arial" w:hAnsi="Arial" w:cs="Arial"/>
          <w:sz w:val="24"/>
          <w:szCs w:val="24"/>
        </w:rPr>
      </w:pPr>
      <w:r>
        <w:rPr>
          <w:rFonts w:ascii="Arial" w:hAnsi="Arial" w:cs="Arial"/>
          <w:sz w:val="24"/>
          <w:szCs w:val="24"/>
        </w:rPr>
        <w:t xml:space="preserve">- Impulsar una Política Nacional para el Cobre va más allá de recuperar la propiedad </w:t>
      </w:r>
      <w:r w:rsidR="00C2502E">
        <w:rPr>
          <w:rFonts w:ascii="Arial" w:hAnsi="Arial" w:cs="Arial"/>
          <w:sz w:val="24"/>
          <w:szCs w:val="24"/>
        </w:rPr>
        <w:t xml:space="preserve">pública </w:t>
      </w:r>
      <w:r>
        <w:rPr>
          <w:rFonts w:ascii="Arial" w:hAnsi="Arial" w:cs="Arial"/>
          <w:sz w:val="24"/>
          <w:szCs w:val="24"/>
        </w:rPr>
        <w:t>de los yacimientos. Implica también</w:t>
      </w:r>
      <w:r w:rsidR="009A0093">
        <w:rPr>
          <w:rFonts w:ascii="Arial" w:hAnsi="Arial" w:cs="Arial"/>
          <w:sz w:val="24"/>
          <w:szCs w:val="24"/>
        </w:rPr>
        <w:t xml:space="preserve">: </w:t>
      </w:r>
    </w:p>
    <w:p w:rsidR="00C2502E" w:rsidRDefault="00C2502E" w:rsidP="00C2502E">
      <w:pPr>
        <w:ind w:left="708"/>
        <w:rPr>
          <w:rFonts w:ascii="Arial" w:hAnsi="Arial" w:cs="Arial"/>
          <w:sz w:val="24"/>
          <w:szCs w:val="24"/>
        </w:rPr>
      </w:pPr>
      <w:r>
        <w:rPr>
          <w:rFonts w:ascii="Arial" w:hAnsi="Arial" w:cs="Arial"/>
          <w:sz w:val="24"/>
          <w:szCs w:val="24"/>
        </w:rPr>
        <w:t xml:space="preserve">- regulación de producción y formación de precios. </w:t>
      </w:r>
    </w:p>
    <w:p w:rsidR="00C2502E" w:rsidRDefault="009A0093" w:rsidP="009A0093">
      <w:pPr>
        <w:ind w:left="708"/>
        <w:rPr>
          <w:rFonts w:ascii="Arial" w:hAnsi="Arial" w:cs="Arial"/>
          <w:sz w:val="24"/>
          <w:szCs w:val="24"/>
        </w:rPr>
      </w:pPr>
      <w:r>
        <w:rPr>
          <w:rFonts w:ascii="Arial" w:hAnsi="Arial" w:cs="Arial"/>
          <w:sz w:val="24"/>
          <w:szCs w:val="24"/>
        </w:rPr>
        <w:t xml:space="preserve">- </w:t>
      </w:r>
      <w:r w:rsidR="00C5299F">
        <w:rPr>
          <w:rFonts w:ascii="Arial" w:hAnsi="Arial" w:cs="Arial"/>
          <w:sz w:val="24"/>
          <w:szCs w:val="24"/>
        </w:rPr>
        <w:t xml:space="preserve">promover la investigación y desarrollo </w:t>
      </w:r>
      <w:r w:rsidR="00C2502E">
        <w:rPr>
          <w:rFonts w:ascii="Arial" w:hAnsi="Arial" w:cs="Arial"/>
          <w:sz w:val="24"/>
          <w:szCs w:val="24"/>
        </w:rPr>
        <w:t xml:space="preserve">en la tecnología de producción de </w:t>
      </w:r>
      <w:r w:rsidR="00847460">
        <w:rPr>
          <w:rFonts w:ascii="Arial" w:hAnsi="Arial" w:cs="Arial"/>
          <w:sz w:val="24"/>
          <w:szCs w:val="24"/>
        </w:rPr>
        <w:t>cobre.</w:t>
      </w:r>
    </w:p>
    <w:p w:rsidR="00783291" w:rsidRDefault="00C2502E" w:rsidP="009A0093">
      <w:pPr>
        <w:ind w:left="708"/>
        <w:rPr>
          <w:rFonts w:ascii="Arial" w:hAnsi="Arial" w:cs="Arial"/>
          <w:sz w:val="24"/>
          <w:szCs w:val="24"/>
        </w:rPr>
      </w:pPr>
      <w:r>
        <w:rPr>
          <w:rFonts w:ascii="Arial" w:hAnsi="Arial" w:cs="Arial"/>
          <w:sz w:val="24"/>
          <w:szCs w:val="24"/>
        </w:rPr>
        <w:t xml:space="preserve">- </w:t>
      </w:r>
      <w:r w:rsidR="00783291">
        <w:rPr>
          <w:rFonts w:ascii="Arial" w:hAnsi="Arial" w:cs="Arial"/>
          <w:sz w:val="24"/>
          <w:szCs w:val="24"/>
        </w:rPr>
        <w:t xml:space="preserve">promover </w:t>
      </w:r>
      <w:r>
        <w:rPr>
          <w:rFonts w:ascii="Arial" w:hAnsi="Arial" w:cs="Arial"/>
          <w:sz w:val="24"/>
          <w:szCs w:val="24"/>
        </w:rPr>
        <w:t xml:space="preserve">la investigación </w:t>
      </w:r>
      <w:r w:rsidR="00847460">
        <w:rPr>
          <w:rFonts w:ascii="Arial" w:hAnsi="Arial" w:cs="Arial"/>
          <w:sz w:val="24"/>
          <w:szCs w:val="24"/>
        </w:rPr>
        <w:t xml:space="preserve">y desarrollo </w:t>
      </w:r>
      <w:r>
        <w:rPr>
          <w:rFonts w:ascii="Arial" w:hAnsi="Arial" w:cs="Arial"/>
          <w:sz w:val="24"/>
          <w:szCs w:val="24"/>
        </w:rPr>
        <w:t xml:space="preserve">en </w:t>
      </w:r>
      <w:r w:rsidR="00783291">
        <w:rPr>
          <w:rFonts w:ascii="Arial" w:hAnsi="Arial" w:cs="Arial"/>
          <w:sz w:val="24"/>
          <w:szCs w:val="24"/>
        </w:rPr>
        <w:t xml:space="preserve">usos </w:t>
      </w:r>
      <w:r w:rsidR="009A0093">
        <w:rPr>
          <w:rFonts w:ascii="Arial" w:hAnsi="Arial" w:cs="Arial"/>
          <w:sz w:val="24"/>
          <w:szCs w:val="24"/>
        </w:rPr>
        <w:t xml:space="preserve">alternativos </w:t>
      </w:r>
      <w:r w:rsidR="00783291">
        <w:rPr>
          <w:rFonts w:ascii="Arial" w:hAnsi="Arial" w:cs="Arial"/>
          <w:sz w:val="24"/>
          <w:szCs w:val="24"/>
        </w:rPr>
        <w:t>del cobre</w:t>
      </w:r>
      <w:r w:rsidR="009A0093">
        <w:rPr>
          <w:rFonts w:ascii="Arial" w:hAnsi="Arial" w:cs="Arial"/>
          <w:sz w:val="24"/>
          <w:szCs w:val="24"/>
        </w:rPr>
        <w:t xml:space="preserve">; </w:t>
      </w:r>
      <w:r w:rsidR="00783291">
        <w:rPr>
          <w:rFonts w:ascii="Arial" w:hAnsi="Arial" w:cs="Arial"/>
          <w:sz w:val="24"/>
          <w:szCs w:val="24"/>
        </w:rPr>
        <w:t xml:space="preserve">  </w:t>
      </w:r>
    </w:p>
    <w:p w:rsidR="009A0093" w:rsidRDefault="009A0093" w:rsidP="009A0093">
      <w:pPr>
        <w:ind w:left="708"/>
        <w:rPr>
          <w:rFonts w:ascii="Arial" w:hAnsi="Arial" w:cs="Arial"/>
          <w:sz w:val="24"/>
          <w:szCs w:val="24"/>
        </w:rPr>
      </w:pPr>
      <w:r>
        <w:rPr>
          <w:rFonts w:ascii="Arial" w:hAnsi="Arial" w:cs="Arial"/>
          <w:sz w:val="24"/>
          <w:szCs w:val="24"/>
        </w:rPr>
        <w:t xml:space="preserve">- preparar técnicos y profesionales en la gestión </w:t>
      </w:r>
      <w:r w:rsidR="00847460">
        <w:rPr>
          <w:rFonts w:ascii="Arial" w:hAnsi="Arial" w:cs="Arial"/>
          <w:sz w:val="24"/>
          <w:szCs w:val="24"/>
        </w:rPr>
        <w:t xml:space="preserve">integral </w:t>
      </w:r>
      <w:r>
        <w:rPr>
          <w:rFonts w:ascii="Arial" w:hAnsi="Arial" w:cs="Arial"/>
          <w:sz w:val="24"/>
          <w:szCs w:val="24"/>
        </w:rPr>
        <w:t xml:space="preserve">del cobre; </w:t>
      </w:r>
    </w:p>
    <w:p w:rsidR="00C5299F" w:rsidRDefault="00C5299F" w:rsidP="009A0093">
      <w:pPr>
        <w:ind w:left="708"/>
        <w:rPr>
          <w:rFonts w:ascii="Arial" w:hAnsi="Arial" w:cs="Arial"/>
          <w:sz w:val="24"/>
          <w:szCs w:val="24"/>
        </w:rPr>
      </w:pPr>
      <w:r>
        <w:rPr>
          <w:rFonts w:ascii="Arial" w:hAnsi="Arial" w:cs="Arial"/>
          <w:sz w:val="24"/>
          <w:szCs w:val="24"/>
        </w:rPr>
        <w:t xml:space="preserve">- intervención en toda la cadena de valor, lo cual supone </w:t>
      </w:r>
      <w:r w:rsidR="0055559B">
        <w:rPr>
          <w:rFonts w:ascii="Arial" w:hAnsi="Arial" w:cs="Arial"/>
          <w:sz w:val="24"/>
          <w:szCs w:val="24"/>
        </w:rPr>
        <w:t xml:space="preserve">hacerse cargo de </w:t>
      </w:r>
      <w:r>
        <w:rPr>
          <w:rFonts w:ascii="Arial" w:hAnsi="Arial" w:cs="Arial"/>
          <w:sz w:val="24"/>
          <w:szCs w:val="24"/>
        </w:rPr>
        <w:t xml:space="preserve">la </w:t>
      </w:r>
      <w:r w:rsidR="00847460">
        <w:rPr>
          <w:rFonts w:ascii="Arial" w:hAnsi="Arial" w:cs="Arial"/>
          <w:sz w:val="24"/>
          <w:szCs w:val="24"/>
        </w:rPr>
        <w:t xml:space="preserve">comercialización y </w:t>
      </w:r>
      <w:r w:rsidR="0055559B">
        <w:rPr>
          <w:rFonts w:ascii="Arial" w:hAnsi="Arial" w:cs="Arial"/>
          <w:sz w:val="24"/>
          <w:szCs w:val="24"/>
        </w:rPr>
        <w:t xml:space="preserve">promover </w:t>
      </w:r>
      <w:r w:rsidR="00847460">
        <w:rPr>
          <w:rFonts w:ascii="Arial" w:hAnsi="Arial" w:cs="Arial"/>
          <w:sz w:val="24"/>
          <w:szCs w:val="24"/>
        </w:rPr>
        <w:t xml:space="preserve">la </w:t>
      </w:r>
      <w:r>
        <w:rPr>
          <w:rFonts w:ascii="Arial" w:hAnsi="Arial" w:cs="Arial"/>
          <w:sz w:val="24"/>
          <w:szCs w:val="24"/>
        </w:rPr>
        <w:t>agregación de valor en el país</w:t>
      </w:r>
    </w:p>
    <w:p w:rsidR="00C5299F" w:rsidRDefault="00C5299F" w:rsidP="009A0093">
      <w:pPr>
        <w:ind w:left="708"/>
        <w:rPr>
          <w:rFonts w:ascii="Arial" w:hAnsi="Arial" w:cs="Arial"/>
          <w:sz w:val="24"/>
          <w:szCs w:val="24"/>
        </w:rPr>
      </w:pPr>
      <w:r>
        <w:rPr>
          <w:rFonts w:ascii="Arial" w:hAnsi="Arial" w:cs="Arial"/>
          <w:sz w:val="24"/>
          <w:szCs w:val="24"/>
        </w:rPr>
        <w:t xml:space="preserve">- promover una industrialización de productos que tengan </w:t>
      </w:r>
      <w:r w:rsidR="00847460">
        <w:rPr>
          <w:rFonts w:ascii="Arial" w:hAnsi="Arial" w:cs="Arial"/>
          <w:sz w:val="24"/>
          <w:szCs w:val="24"/>
        </w:rPr>
        <w:t xml:space="preserve">como base </w:t>
      </w:r>
      <w:r>
        <w:rPr>
          <w:rFonts w:ascii="Arial" w:hAnsi="Arial" w:cs="Arial"/>
          <w:sz w:val="24"/>
          <w:szCs w:val="24"/>
        </w:rPr>
        <w:t>el uso intensivo de cobre</w:t>
      </w:r>
      <w:r w:rsidR="00847460">
        <w:rPr>
          <w:rFonts w:ascii="Arial" w:hAnsi="Arial" w:cs="Arial"/>
          <w:sz w:val="24"/>
          <w:szCs w:val="24"/>
        </w:rPr>
        <w:t xml:space="preserve">. </w:t>
      </w:r>
    </w:p>
    <w:p w:rsidR="00DA05C9" w:rsidRDefault="00DA05C9" w:rsidP="007505F4">
      <w:pPr>
        <w:rPr>
          <w:rFonts w:ascii="Arial" w:hAnsi="Arial" w:cs="Arial"/>
          <w:sz w:val="24"/>
          <w:szCs w:val="24"/>
        </w:rPr>
      </w:pPr>
    </w:p>
    <w:p w:rsidR="00143CE5" w:rsidRPr="00CA4EC6" w:rsidRDefault="00873A1A">
      <w:pPr>
        <w:rPr>
          <w:rFonts w:ascii="Arial" w:hAnsi="Arial" w:cs="Arial"/>
          <w:sz w:val="24"/>
          <w:szCs w:val="24"/>
        </w:rPr>
      </w:pPr>
      <w:r>
        <w:rPr>
          <w:rFonts w:ascii="Arial" w:hAnsi="Arial" w:cs="Arial"/>
          <w:sz w:val="24"/>
          <w:szCs w:val="24"/>
        </w:rPr>
        <w:t xml:space="preserve">(*) Periodista; Director de Diario </w:t>
      </w:r>
      <w:bookmarkStart w:id="0" w:name="_GoBack"/>
      <w:bookmarkEnd w:id="0"/>
      <w:r>
        <w:rPr>
          <w:rFonts w:ascii="Arial" w:hAnsi="Arial" w:cs="Arial"/>
          <w:sz w:val="24"/>
          <w:szCs w:val="24"/>
        </w:rPr>
        <w:t>Red Digital</w:t>
      </w:r>
    </w:p>
    <w:p w:rsidR="00CA4EC6" w:rsidRPr="00CA4EC6" w:rsidRDefault="00CA4EC6">
      <w:pPr>
        <w:rPr>
          <w:rFonts w:ascii="Arial" w:hAnsi="Arial" w:cs="Arial"/>
          <w:sz w:val="24"/>
          <w:szCs w:val="24"/>
        </w:rPr>
      </w:pPr>
    </w:p>
    <w:p w:rsidR="00B62928" w:rsidRPr="003662FB" w:rsidRDefault="00B62928">
      <w:pPr>
        <w:rPr>
          <w:rFonts w:ascii="Arial" w:hAnsi="Arial" w:cs="Arial"/>
          <w:sz w:val="24"/>
          <w:szCs w:val="24"/>
        </w:rPr>
      </w:pPr>
    </w:p>
    <w:sectPr w:rsidR="00B62928" w:rsidRPr="003662FB" w:rsidSect="007876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9F" w:rsidRDefault="00BB339F" w:rsidP="006A3161">
      <w:pPr>
        <w:spacing w:after="0" w:line="240" w:lineRule="auto"/>
      </w:pPr>
      <w:r>
        <w:separator/>
      </w:r>
    </w:p>
  </w:endnote>
  <w:endnote w:type="continuationSeparator" w:id="0">
    <w:p w:rsidR="00BB339F" w:rsidRDefault="00BB339F" w:rsidP="006A3161">
      <w:pPr>
        <w:spacing w:after="0" w:line="240" w:lineRule="auto"/>
      </w:pPr>
      <w:r>
        <w:continuationSeparator/>
      </w:r>
    </w:p>
  </w:endnote>
  <w:endnote w:id="1">
    <w:p w:rsidR="00856F3E" w:rsidRDefault="006A3161" w:rsidP="00856F3E">
      <w:pPr>
        <w:pStyle w:val="Textonotaalfinal"/>
      </w:pPr>
      <w:r>
        <w:rPr>
          <w:rStyle w:val="Refdenotaalfinal"/>
        </w:rPr>
        <w:endnoteRef/>
      </w:r>
      <w:r>
        <w:t xml:space="preserve"> </w:t>
      </w:r>
      <w:r w:rsidR="00856F3E">
        <w:t>El artículo  24 de la actual Constitución,  inciso 6 y siguientes regula la explotación y comercialización de los recursos mineros, en los siguientes términos:</w:t>
      </w:r>
    </w:p>
    <w:p w:rsidR="00856F3E" w:rsidRDefault="00856F3E" w:rsidP="00856F3E">
      <w:pPr>
        <w:pStyle w:val="Textonotaalfinal"/>
      </w:pPr>
    </w:p>
    <w:p w:rsidR="00856F3E" w:rsidRDefault="00856F3E" w:rsidP="00856F3E">
      <w:pPr>
        <w:pStyle w:val="Textonotaalfinal"/>
      </w:pPr>
      <w:r>
        <w:t xml:space="preserve">El Estado tiene el dominio absoluto, exclusivo, inalienable e imprescriptible de todas las minas, comprendiéndose en éstas las covaderas, las arenas metalíferas, los salares, los depósitos de carbón e </w:t>
      </w:r>
      <w:proofErr w:type="spellStart"/>
      <w:r>
        <w:t>e</w:t>
      </w:r>
      <w:proofErr w:type="spellEnd"/>
      <w:r>
        <w:t xml:space="preserve"> hidrocarburos y las demás sustancias fósiles, con excepción de las arcillas superficiales, no obstante la propiedad de las personas naturales o jurídicas sobre los terrenos en cuyas entrañas estuvieren situadas. Los predios superficiales estarán sujetos a las obligaciones y limitaciones que la ley señale para facilitar la exploración, la explotación y el beneficio de dichas minas.</w:t>
      </w:r>
    </w:p>
    <w:p w:rsidR="00856F3E" w:rsidRDefault="00856F3E" w:rsidP="00856F3E">
      <w:pPr>
        <w:pStyle w:val="Textonotaalfinal"/>
      </w:pPr>
    </w:p>
    <w:p w:rsidR="00856F3E" w:rsidRDefault="00856F3E" w:rsidP="00856F3E">
      <w:pPr>
        <w:pStyle w:val="Textonotaalfinal"/>
      </w:pPr>
      <w:r>
        <w:t>Corresponde a la ley determinar qué sustancias de aquellas a que se refiere el inciso precedente, exceptuados los hidrocarburos líquidos o gaseosos, pueden ser objeto de concesiones de exploración o de explotación. Dichas concesiones se constituirán siempre por resolución judicial y tendrán la duración, conferirán los derechos e impondrán las obligaciones que la ley exprese, la que tendrá el carácter de orgánica constitucional. La concesión minera obliga al dueño a desarrollar la actividad necesaria para satisfacer el interés público que justifica su otorgamiento. Su régimen de amparo será establecido por dicha ley, tenderá directa o indirectamente a obtener el cumplimiento de esa obligación y contemplará causales de caducidad para o de simple extinción del dominio sobre la concesión. En todo caso dichas causales y sus efectos deben estar establecidos al momento de otorgarse la concesión.</w:t>
      </w:r>
    </w:p>
    <w:p w:rsidR="00856F3E" w:rsidRDefault="00856F3E" w:rsidP="00856F3E">
      <w:pPr>
        <w:pStyle w:val="Textonotaalfinal"/>
      </w:pPr>
    </w:p>
    <w:p w:rsidR="00856F3E" w:rsidRDefault="00856F3E" w:rsidP="00856F3E">
      <w:pPr>
        <w:pStyle w:val="Textonotaalfinal"/>
      </w:pPr>
      <w:r>
        <w:t>Será de competencia exclusiva de los tribunales ordinarios de justicia declarar la extinción de tales concesiones. Las controversias que se produzcan respecto de la caducidad o extinción del dominio sobre la concesión serán resueltas por ellos; y en caso de caducidad, el afectado podrá requerir de la justicia la declaración de subsistencia de su derecho.</w:t>
      </w:r>
    </w:p>
    <w:p w:rsidR="00856F3E" w:rsidRDefault="00856F3E" w:rsidP="00856F3E">
      <w:pPr>
        <w:pStyle w:val="Textonotaalfinal"/>
      </w:pPr>
    </w:p>
    <w:p w:rsidR="00856F3E" w:rsidRDefault="00856F3E" w:rsidP="00856F3E">
      <w:pPr>
        <w:pStyle w:val="Textonotaalfinal"/>
      </w:pPr>
      <w:r>
        <w:t>El dominio del titular sobre su concesión minera está protegido por la garantía constitucional de que trata este número.</w:t>
      </w:r>
    </w:p>
    <w:p w:rsidR="00856F3E" w:rsidRDefault="00856F3E" w:rsidP="00856F3E">
      <w:pPr>
        <w:pStyle w:val="Textonotaalfinal"/>
      </w:pPr>
    </w:p>
    <w:p w:rsidR="00856F3E" w:rsidRDefault="00856F3E" w:rsidP="00856F3E">
      <w:pPr>
        <w:pStyle w:val="Textonotaalfinal"/>
      </w:pPr>
      <w:r>
        <w:t>La exploración, la explotación o el beneficio de los yacimientos que contengan sustancias no susceptibles de concesión, podrán ejecutarse directamente por el Estado o por sus empresas, o por medio de concesiones administrativas o de contratos especiales de operación, con los requisitos y bajo las condiciones que el Presidente de la República fije, para cada caso, por decreto supremo.</w:t>
      </w:r>
    </w:p>
    <w:p w:rsidR="00856F3E" w:rsidRDefault="00856F3E" w:rsidP="00856F3E">
      <w:pPr>
        <w:pStyle w:val="Textonotaalfinal"/>
      </w:pPr>
    </w:p>
    <w:p w:rsidR="00856F3E" w:rsidRDefault="00856F3E" w:rsidP="00856F3E">
      <w:pPr>
        <w:pStyle w:val="Textonotaalfinal"/>
      </w:pPr>
      <w:r>
        <w:t>Esta norma se aplicará también a los yacimientos de cualquier especie existentes en las aguas marítimas sometidas a la jurisdicción nacional y a los situados, en todo o en parte, en zonas que, conforme a la ley, se determinen como de importancia para la seguridad nacional. El Presidente de la República podrá poner término, en cualquier tiempo, sin expresión de causa y con la indemnización que corresponda, a las concesiones administrativas o a los contratos de operación relativos a explotaciones ubicadas en zonas declaradas de importancia para la seguridad nacional.</w:t>
      </w:r>
    </w:p>
    <w:p w:rsidR="00856F3E" w:rsidRDefault="00856F3E" w:rsidP="00856F3E">
      <w:pPr>
        <w:pStyle w:val="Textonotaalfinal"/>
      </w:pPr>
    </w:p>
    <w:p w:rsidR="006A3161" w:rsidRDefault="00856F3E" w:rsidP="00856F3E">
      <w:pPr>
        <w:pStyle w:val="Textonotaalfinal"/>
      </w:pPr>
      <w:r>
        <w:t>Los derechos de los particulares sobre las aguas, reconocidos o constituidos en conformidad a la ley, otorgarán a sus titulares la propiedad sobre ellos".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9F" w:rsidRDefault="00BB339F" w:rsidP="006A3161">
      <w:pPr>
        <w:spacing w:after="0" w:line="240" w:lineRule="auto"/>
      </w:pPr>
      <w:r>
        <w:separator/>
      </w:r>
    </w:p>
  </w:footnote>
  <w:footnote w:type="continuationSeparator" w:id="0">
    <w:p w:rsidR="00BB339F" w:rsidRDefault="00BB339F" w:rsidP="006A3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B2"/>
    <w:rsid w:val="00097D56"/>
    <w:rsid w:val="00143CE5"/>
    <w:rsid w:val="001442B4"/>
    <w:rsid w:val="001F4865"/>
    <w:rsid w:val="002376DF"/>
    <w:rsid w:val="002576AC"/>
    <w:rsid w:val="00333885"/>
    <w:rsid w:val="00345A1D"/>
    <w:rsid w:val="003662FB"/>
    <w:rsid w:val="004D5920"/>
    <w:rsid w:val="004E1D86"/>
    <w:rsid w:val="0055559B"/>
    <w:rsid w:val="005D78DE"/>
    <w:rsid w:val="005E09C5"/>
    <w:rsid w:val="0069708B"/>
    <w:rsid w:val="006A3161"/>
    <w:rsid w:val="007505F4"/>
    <w:rsid w:val="00753096"/>
    <w:rsid w:val="00773A9B"/>
    <w:rsid w:val="00783291"/>
    <w:rsid w:val="0078763D"/>
    <w:rsid w:val="007C2AB2"/>
    <w:rsid w:val="00847460"/>
    <w:rsid w:val="00856F3E"/>
    <w:rsid w:val="00873A1A"/>
    <w:rsid w:val="00895385"/>
    <w:rsid w:val="008A5F2E"/>
    <w:rsid w:val="00911C22"/>
    <w:rsid w:val="00953DED"/>
    <w:rsid w:val="009564F6"/>
    <w:rsid w:val="009A0093"/>
    <w:rsid w:val="009C6B73"/>
    <w:rsid w:val="009D0B65"/>
    <w:rsid w:val="00A4210C"/>
    <w:rsid w:val="00B2454E"/>
    <w:rsid w:val="00B62928"/>
    <w:rsid w:val="00BB339F"/>
    <w:rsid w:val="00BB75EE"/>
    <w:rsid w:val="00BF2A70"/>
    <w:rsid w:val="00C23C24"/>
    <w:rsid w:val="00C2502E"/>
    <w:rsid w:val="00C31B0A"/>
    <w:rsid w:val="00C5299F"/>
    <w:rsid w:val="00CA4EC6"/>
    <w:rsid w:val="00D9763D"/>
    <w:rsid w:val="00DA05C9"/>
    <w:rsid w:val="00EA26D9"/>
    <w:rsid w:val="00EE3851"/>
    <w:rsid w:val="00EF6C08"/>
    <w:rsid w:val="00EF7439"/>
    <w:rsid w:val="00F717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08B"/>
    <w:pPr>
      <w:ind w:left="720"/>
      <w:contextualSpacing/>
    </w:pPr>
  </w:style>
  <w:style w:type="character" w:styleId="nfasis">
    <w:name w:val="Emphasis"/>
    <w:basedOn w:val="Fuentedeprrafopredeter"/>
    <w:uiPriority w:val="20"/>
    <w:qFormat/>
    <w:rsid w:val="00953DED"/>
    <w:rPr>
      <w:i/>
      <w:iCs/>
    </w:rPr>
  </w:style>
  <w:style w:type="character" w:styleId="Hipervnculo">
    <w:name w:val="Hyperlink"/>
    <w:basedOn w:val="Fuentedeprrafopredeter"/>
    <w:uiPriority w:val="99"/>
    <w:semiHidden/>
    <w:unhideWhenUsed/>
    <w:rsid w:val="00953DED"/>
    <w:rPr>
      <w:color w:val="0000FF"/>
      <w:u w:val="single"/>
    </w:rPr>
  </w:style>
  <w:style w:type="character" w:styleId="Textoennegrita">
    <w:name w:val="Strong"/>
    <w:basedOn w:val="Fuentedeprrafopredeter"/>
    <w:uiPriority w:val="22"/>
    <w:qFormat/>
    <w:rsid w:val="00B2454E"/>
    <w:rPr>
      <w:b/>
      <w:bCs/>
    </w:rPr>
  </w:style>
  <w:style w:type="paragraph" w:styleId="Textonotapie">
    <w:name w:val="footnote text"/>
    <w:basedOn w:val="Normal"/>
    <w:link w:val="TextonotapieCar"/>
    <w:uiPriority w:val="99"/>
    <w:semiHidden/>
    <w:unhideWhenUsed/>
    <w:rsid w:val="006A31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3161"/>
    <w:rPr>
      <w:sz w:val="20"/>
      <w:szCs w:val="20"/>
    </w:rPr>
  </w:style>
  <w:style w:type="character" w:styleId="Refdenotaalpie">
    <w:name w:val="footnote reference"/>
    <w:basedOn w:val="Fuentedeprrafopredeter"/>
    <w:uiPriority w:val="99"/>
    <w:semiHidden/>
    <w:unhideWhenUsed/>
    <w:rsid w:val="006A3161"/>
    <w:rPr>
      <w:vertAlign w:val="superscript"/>
    </w:rPr>
  </w:style>
  <w:style w:type="paragraph" w:styleId="Textonotaalfinal">
    <w:name w:val="endnote text"/>
    <w:basedOn w:val="Normal"/>
    <w:link w:val="TextonotaalfinalCar"/>
    <w:uiPriority w:val="99"/>
    <w:semiHidden/>
    <w:unhideWhenUsed/>
    <w:rsid w:val="006A31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3161"/>
    <w:rPr>
      <w:sz w:val="20"/>
      <w:szCs w:val="20"/>
    </w:rPr>
  </w:style>
  <w:style w:type="character" w:styleId="Refdenotaalfinal">
    <w:name w:val="endnote reference"/>
    <w:basedOn w:val="Fuentedeprrafopredeter"/>
    <w:uiPriority w:val="99"/>
    <w:semiHidden/>
    <w:unhideWhenUsed/>
    <w:rsid w:val="006A31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08B"/>
    <w:pPr>
      <w:ind w:left="720"/>
      <w:contextualSpacing/>
    </w:pPr>
  </w:style>
  <w:style w:type="character" w:styleId="nfasis">
    <w:name w:val="Emphasis"/>
    <w:basedOn w:val="Fuentedeprrafopredeter"/>
    <w:uiPriority w:val="20"/>
    <w:qFormat/>
    <w:rsid w:val="00953DED"/>
    <w:rPr>
      <w:i/>
      <w:iCs/>
    </w:rPr>
  </w:style>
  <w:style w:type="character" w:styleId="Hipervnculo">
    <w:name w:val="Hyperlink"/>
    <w:basedOn w:val="Fuentedeprrafopredeter"/>
    <w:uiPriority w:val="99"/>
    <w:semiHidden/>
    <w:unhideWhenUsed/>
    <w:rsid w:val="00953DED"/>
    <w:rPr>
      <w:color w:val="0000FF"/>
      <w:u w:val="single"/>
    </w:rPr>
  </w:style>
  <w:style w:type="character" w:styleId="Textoennegrita">
    <w:name w:val="Strong"/>
    <w:basedOn w:val="Fuentedeprrafopredeter"/>
    <w:uiPriority w:val="22"/>
    <w:qFormat/>
    <w:rsid w:val="00B2454E"/>
    <w:rPr>
      <w:b/>
      <w:bCs/>
    </w:rPr>
  </w:style>
  <w:style w:type="paragraph" w:styleId="Textonotapie">
    <w:name w:val="footnote text"/>
    <w:basedOn w:val="Normal"/>
    <w:link w:val="TextonotapieCar"/>
    <w:uiPriority w:val="99"/>
    <w:semiHidden/>
    <w:unhideWhenUsed/>
    <w:rsid w:val="006A31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3161"/>
    <w:rPr>
      <w:sz w:val="20"/>
      <w:szCs w:val="20"/>
    </w:rPr>
  </w:style>
  <w:style w:type="character" w:styleId="Refdenotaalpie">
    <w:name w:val="footnote reference"/>
    <w:basedOn w:val="Fuentedeprrafopredeter"/>
    <w:uiPriority w:val="99"/>
    <w:semiHidden/>
    <w:unhideWhenUsed/>
    <w:rsid w:val="006A3161"/>
    <w:rPr>
      <w:vertAlign w:val="superscript"/>
    </w:rPr>
  </w:style>
  <w:style w:type="paragraph" w:styleId="Textonotaalfinal">
    <w:name w:val="endnote text"/>
    <w:basedOn w:val="Normal"/>
    <w:link w:val="TextonotaalfinalCar"/>
    <w:uiPriority w:val="99"/>
    <w:semiHidden/>
    <w:unhideWhenUsed/>
    <w:rsid w:val="006A31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3161"/>
    <w:rPr>
      <w:sz w:val="20"/>
      <w:szCs w:val="20"/>
    </w:rPr>
  </w:style>
  <w:style w:type="character" w:styleId="Refdenotaalfinal">
    <w:name w:val="endnote reference"/>
    <w:basedOn w:val="Fuentedeprrafopredeter"/>
    <w:uiPriority w:val="99"/>
    <w:semiHidden/>
    <w:unhideWhenUsed/>
    <w:rsid w:val="006A3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494">
      <w:bodyDiv w:val="1"/>
      <w:marLeft w:val="0"/>
      <w:marRight w:val="0"/>
      <w:marTop w:val="0"/>
      <w:marBottom w:val="0"/>
      <w:divBdr>
        <w:top w:val="none" w:sz="0" w:space="0" w:color="auto"/>
        <w:left w:val="none" w:sz="0" w:space="0" w:color="auto"/>
        <w:bottom w:val="none" w:sz="0" w:space="0" w:color="auto"/>
        <w:right w:val="none" w:sz="0" w:space="0" w:color="auto"/>
      </w:divBdr>
    </w:div>
    <w:div w:id="97214148">
      <w:bodyDiv w:val="1"/>
      <w:marLeft w:val="0"/>
      <w:marRight w:val="0"/>
      <w:marTop w:val="0"/>
      <w:marBottom w:val="0"/>
      <w:divBdr>
        <w:top w:val="none" w:sz="0" w:space="0" w:color="auto"/>
        <w:left w:val="none" w:sz="0" w:space="0" w:color="auto"/>
        <w:bottom w:val="none" w:sz="0" w:space="0" w:color="auto"/>
        <w:right w:val="none" w:sz="0" w:space="0" w:color="auto"/>
      </w:divBdr>
    </w:div>
    <w:div w:id="109125794">
      <w:bodyDiv w:val="1"/>
      <w:marLeft w:val="0"/>
      <w:marRight w:val="0"/>
      <w:marTop w:val="0"/>
      <w:marBottom w:val="0"/>
      <w:divBdr>
        <w:top w:val="none" w:sz="0" w:space="0" w:color="auto"/>
        <w:left w:val="none" w:sz="0" w:space="0" w:color="auto"/>
        <w:bottom w:val="none" w:sz="0" w:space="0" w:color="auto"/>
        <w:right w:val="none" w:sz="0" w:space="0" w:color="auto"/>
      </w:divBdr>
    </w:div>
    <w:div w:id="122774634">
      <w:bodyDiv w:val="1"/>
      <w:marLeft w:val="0"/>
      <w:marRight w:val="0"/>
      <w:marTop w:val="0"/>
      <w:marBottom w:val="0"/>
      <w:divBdr>
        <w:top w:val="none" w:sz="0" w:space="0" w:color="auto"/>
        <w:left w:val="none" w:sz="0" w:space="0" w:color="auto"/>
        <w:bottom w:val="none" w:sz="0" w:space="0" w:color="auto"/>
        <w:right w:val="none" w:sz="0" w:space="0" w:color="auto"/>
      </w:divBdr>
    </w:div>
    <w:div w:id="290062721">
      <w:bodyDiv w:val="1"/>
      <w:marLeft w:val="0"/>
      <w:marRight w:val="0"/>
      <w:marTop w:val="0"/>
      <w:marBottom w:val="0"/>
      <w:divBdr>
        <w:top w:val="none" w:sz="0" w:space="0" w:color="auto"/>
        <w:left w:val="none" w:sz="0" w:space="0" w:color="auto"/>
        <w:bottom w:val="none" w:sz="0" w:space="0" w:color="auto"/>
        <w:right w:val="none" w:sz="0" w:space="0" w:color="auto"/>
      </w:divBdr>
    </w:div>
    <w:div w:id="508181624">
      <w:bodyDiv w:val="1"/>
      <w:marLeft w:val="0"/>
      <w:marRight w:val="0"/>
      <w:marTop w:val="0"/>
      <w:marBottom w:val="0"/>
      <w:divBdr>
        <w:top w:val="none" w:sz="0" w:space="0" w:color="auto"/>
        <w:left w:val="none" w:sz="0" w:space="0" w:color="auto"/>
        <w:bottom w:val="none" w:sz="0" w:space="0" w:color="auto"/>
        <w:right w:val="none" w:sz="0" w:space="0" w:color="auto"/>
      </w:divBdr>
    </w:div>
    <w:div w:id="537743153">
      <w:bodyDiv w:val="1"/>
      <w:marLeft w:val="0"/>
      <w:marRight w:val="0"/>
      <w:marTop w:val="0"/>
      <w:marBottom w:val="0"/>
      <w:divBdr>
        <w:top w:val="none" w:sz="0" w:space="0" w:color="auto"/>
        <w:left w:val="none" w:sz="0" w:space="0" w:color="auto"/>
        <w:bottom w:val="none" w:sz="0" w:space="0" w:color="auto"/>
        <w:right w:val="none" w:sz="0" w:space="0" w:color="auto"/>
      </w:divBdr>
    </w:div>
    <w:div w:id="692800935">
      <w:bodyDiv w:val="1"/>
      <w:marLeft w:val="0"/>
      <w:marRight w:val="0"/>
      <w:marTop w:val="0"/>
      <w:marBottom w:val="0"/>
      <w:divBdr>
        <w:top w:val="none" w:sz="0" w:space="0" w:color="auto"/>
        <w:left w:val="none" w:sz="0" w:space="0" w:color="auto"/>
        <w:bottom w:val="none" w:sz="0" w:space="0" w:color="auto"/>
        <w:right w:val="none" w:sz="0" w:space="0" w:color="auto"/>
      </w:divBdr>
    </w:div>
    <w:div w:id="802816117">
      <w:bodyDiv w:val="1"/>
      <w:marLeft w:val="0"/>
      <w:marRight w:val="0"/>
      <w:marTop w:val="0"/>
      <w:marBottom w:val="0"/>
      <w:divBdr>
        <w:top w:val="none" w:sz="0" w:space="0" w:color="auto"/>
        <w:left w:val="none" w:sz="0" w:space="0" w:color="auto"/>
        <w:bottom w:val="none" w:sz="0" w:space="0" w:color="auto"/>
        <w:right w:val="none" w:sz="0" w:space="0" w:color="auto"/>
      </w:divBdr>
    </w:div>
    <w:div w:id="935943590">
      <w:bodyDiv w:val="1"/>
      <w:marLeft w:val="0"/>
      <w:marRight w:val="0"/>
      <w:marTop w:val="0"/>
      <w:marBottom w:val="0"/>
      <w:divBdr>
        <w:top w:val="none" w:sz="0" w:space="0" w:color="auto"/>
        <w:left w:val="none" w:sz="0" w:space="0" w:color="auto"/>
        <w:bottom w:val="none" w:sz="0" w:space="0" w:color="auto"/>
        <w:right w:val="none" w:sz="0" w:space="0" w:color="auto"/>
      </w:divBdr>
    </w:div>
    <w:div w:id="951353322">
      <w:bodyDiv w:val="1"/>
      <w:marLeft w:val="0"/>
      <w:marRight w:val="0"/>
      <w:marTop w:val="0"/>
      <w:marBottom w:val="0"/>
      <w:divBdr>
        <w:top w:val="none" w:sz="0" w:space="0" w:color="auto"/>
        <w:left w:val="none" w:sz="0" w:space="0" w:color="auto"/>
        <w:bottom w:val="none" w:sz="0" w:space="0" w:color="auto"/>
        <w:right w:val="none" w:sz="0" w:space="0" w:color="auto"/>
      </w:divBdr>
    </w:div>
    <w:div w:id="954486719">
      <w:bodyDiv w:val="1"/>
      <w:marLeft w:val="0"/>
      <w:marRight w:val="0"/>
      <w:marTop w:val="0"/>
      <w:marBottom w:val="0"/>
      <w:divBdr>
        <w:top w:val="none" w:sz="0" w:space="0" w:color="auto"/>
        <w:left w:val="none" w:sz="0" w:space="0" w:color="auto"/>
        <w:bottom w:val="none" w:sz="0" w:space="0" w:color="auto"/>
        <w:right w:val="none" w:sz="0" w:space="0" w:color="auto"/>
      </w:divBdr>
    </w:div>
    <w:div w:id="1033186805">
      <w:bodyDiv w:val="1"/>
      <w:marLeft w:val="0"/>
      <w:marRight w:val="0"/>
      <w:marTop w:val="0"/>
      <w:marBottom w:val="0"/>
      <w:divBdr>
        <w:top w:val="none" w:sz="0" w:space="0" w:color="auto"/>
        <w:left w:val="none" w:sz="0" w:space="0" w:color="auto"/>
        <w:bottom w:val="none" w:sz="0" w:space="0" w:color="auto"/>
        <w:right w:val="none" w:sz="0" w:space="0" w:color="auto"/>
      </w:divBdr>
    </w:div>
    <w:div w:id="1251767383">
      <w:bodyDiv w:val="1"/>
      <w:marLeft w:val="0"/>
      <w:marRight w:val="0"/>
      <w:marTop w:val="0"/>
      <w:marBottom w:val="0"/>
      <w:divBdr>
        <w:top w:val="none" w:sz="0" w:space="0" w:color="auto"/>
        <w:left w:val="none" w:sz="0" w:space="0" w:color="auto"/>
        <w:bottom w:val="none" w:sz="0" w:space="0" w:color="auto"/>
        <w:right w:val="none" w:sz="0" w:space="0" w:color="auto"/>
      </w:divBdr>
    </w:div>
    <w:div w:id="1451777053">
      <w:bodyDiv w:val="1"/>
      <w:marLeft w:val="0"/>
      <w:marRight w:val="0"/>
      <w:marTop w:val="0"/>
      <w:marBottom w:val="0"/>
      <w:divBdr>
        <w:top w:val="none" w:sz="0" w:space="0" w:color="auto"/>
        <w:left w:val="none" w:sz="0" w:space="0" w:color="auto"/>
        <w:bottom w:val="none" w:sz="0" w:space="0" w:color="auto"/>
        <w:right w:val="none" w:sz="0" w:space="0" w:color="auto"/>
      </w:divBdr>
    </w:div>
    <w:div w:id="1488863470">
      <w:bodyDiv w:val="1"/>
      <w:marLeft w:val="0"/>
      <w:marRight w:val="0"/>
      <w:marTop w:val="0"/>
      <w:marBottom w:val="0"/>
      <w:divBdr>
        <w:top w:val="none" w:sz="0" w:space="0" w:color="auto"/>
        <w:left w:val="none" w:sz="0" w:space="0" w:color="auto"/>
        <w:bottom w:val="none" w:sz="0" w:space="0" w:color="auto"/>
        <w:right w:val="none" w:sz="0" w:space="0" w:color="auto"/>
      </w:divBdr>
    </w:div>
    <w:div w:id="1619989404">
      <w:bodyDiv w:val="1"/>
      <w:marLeft w:val="0"/>
      <w:marRight w:val="0"/>
      <w:marTop w:val="0"/>
      <w:marBottom w:val="0"/>
      <w:divBdr>
        <w:top w:val="none" w:sz="0" w:space="0" w:color="auto"/>
        <w:left w:val="none" w:sz="0" w:space="0" w:color="auto"/>
        <w:bottom w:val="none" w:sz="0" w:space="0" w:color="auto"/>
        <w:right w:val="none" w:sz="0" w:space="0" w:color="auto"/>
      </w:divBdr>
    </w:div>
    <w:div w:id="1713798609">
      <w:bodyDiv w:val="1"/>
      <w:marLeft w:val="0"/>
      <w:marRight w:val="0"/>
      <w:marTop w:val="0"/>
      <w:marBottom w:val="0"/>
      <w:divBdr>
        <w:top w:val="none" w:sz="0" w:space="0" w:color="auto"/>
        <w:left w:val="none" w:sz="0" w:space="0" w:color="auto"/>
        <w:bottom w:val="none" w:sz="0" w:space="0" w:color="auto"/>
        <w:right w:val="none" w:sz="0" w:space="0" w:color="auto"/>
      </w:divBdr>
    </w:div>
    <w:div w:id="1794321135">
      <w:bodyDiv w:val="1"/>
      <w:marLeft w:val="0"/>
      <w:marRight w:val="0"/>
      <w:marTop w:val="0"/>
      <w:marBottom w:val="0"/>
      <w:divBdr>
        <w:top w:val="none" w:sz="0" w:space="0" w:color="auto"/>
        <w:left w:val="none" w:sz="0" w:space="0" w:color="auto"/>
        <w:bottom w:val="none" w:sz="0" w:space="0" w:color="auto"/>
        <w:right w:val="none" w:sz="0" w:space="0" w:color="auto"/>
      </w:divBdr>
    </w:div>
    <w:div w:id="1823615041">
      <w:bodyDiv w:val="1"/>
      <w:marLeft w:val="0"/>
      <w:marRight w:val="0"/>
      <w:marTop w:val="0"/>
      <w:marBottom w:val="0"/>
      <w:divBdr>
        <w:top w:val="none" w:sz="0" w:space="0" w:color="auto"/>
        <w:left w:val="none" w:sz="0" w:space="0" w:color="auto"/>
        <w:bottom w:val="none" w:sz="0" w:space="0" w:color="auto"/>
        <w:right w:val="none" w:sz="0" w:space="0" w:color="auto"/>
      </w:divBdr>
    </w:div>
    <w:div w:id="1908030639">
      <w:bodyDiv w:val="1"/>
      <w:marLeft w:val="0"/>
      <w:marRight w:val="0"/>
      <w:marTop w:val="0"/>
      <w:marBottom w:val="0"/>
      <w:divBdr>
        <w:top w:val="none" w:sz="0" w:space="0" w:color="auto"/>
        <w:left w:val="none" w:sz="0" w:space="0" w:color="auto"/>
        <w:bottom w:val="none" w:sz="0" w:space="0" w:color="auto"/>
        <w:right w:val="none" w:sz="0" w:space="0" w:color="auto"/>
      </w:divBdr>
    </w:div>
    <w:div w:id="2050490693">
      <w:bodyDiv w:val="1"/>
      <w:marLeft w:val="0"/>
      <w:marRight w:val="0"/>
      <w:marTop w:val="0"/>
      <w:marBottom w:val="0"/>
      <w:divBdr>
        <w:top w:val="none" w:sz="0" w:space="0" w:color="auto"/>
        <w:left w:val="none" w:sz="0" w:space="0" w:color="auto"/>
        <w:bottom w:val="none" w:sz="0" w:space="0" w:color="auto"/>
        <w:right w:val="none" w:sz="0" w:space="0" w:color="auto"/>
      </w:divBdr>
    </w:div>
    <w:div w:id="2069835674">
      <w:bodyDiv w:val="1"/>
      <w:marLeft w:val="0"/>
      <w:marRight w:val="0"/>
      <w:marTop w:val="0"/>
      <w:marBottom w:val="0"/>
      <w:divBdr>
        <w:top w:val="none" w:sz="0" w:space="0" w:color="auto"/>
        <w:left w:val="none" w:sz="0" w:space="0" w:color="auto"/>
        <w:bottom w:val="none" w:sz="0" w:space="0" w:color="auto"/>
        <w:right w:val="none" w:sz="0" w:space="0" w:color="auto"/>
      </w:divBdr>
    </w:div>
    <w:div w:id="20847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uchile.cl/es/publicacion/nuevas-estimaciones-de-la-riqueza-regalada-a-las-grandes-empresas-de-la-mineria-privada-del-cobre-chile-2005-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F324-D993-4B0C-B417-10AC5809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1931</Words>
  <Characters>10622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Subsecretaria de Transportes</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4</cp:revision>
  <dcterms:created xsi:type="dcterms:W3CDTF">2017-07-03T16:22:00Z</dcterms:created>
  <dcterms:modified xsi:type="dcterms:W3CDTF">2017-11-05T22:46:00Z</dcterms:modified>
</cp:coreProperties>
</file>