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87" w:rsidRPr="00CB7087" w:rsidRDefault="00CB7087" w:rsidP="00CB7087">
      <w:pPr>
        <w:spacing w:line="240" w:lineRule="auto"/>
        <w:jc w:val="center"/>
        <w:rPr>
          <w:rFonts w:ascii="Arial" w:hAnsi="Arial" w:cs="Arial"/>
          <w:b/>
          <w:sz w:val="28"/>
          <w:szCs w:val="28"/>
        </w:rPr>
      </w:pPr>
      <w:r w:rsidRPr="00CB7087">
        <w:rPr>
          <w:rFonts w:ascii="Arial" w:hAnsi="Arial" w:cs="Arial"/>
          <w:b/>
          <w:sz w:val="28"/>
          <w:szCs w:val="28"/>
        </w:rPr>
        <w:t>Situación Habitacional Región de Atacama</w:t>
      </w:r>
    </w:p>
    <w:p w:rsidR="00CB7087" w:rsidRPr="00CB7087" w:rsidRDefault="00CB7087" w:rsidP="00CB7087">
      <w:pPr>
        <w:spacing w:line="240" w:lineRule="auto"/>
        <w:jc w:val="left"/>
        <w:rPr>
          <w:rFonts w:ascii="Arial" w:hAnsi="Arial" w:cs="Arial"/>
          <w:b/>
          <w:sz w:val="24"/>
          <w:szCs w:val="24"/>
        </w:rPr>
      </w:pPr>
    </w:p>
    <w:p w:rsidR="00CB7087" w:rsidRPr="00CB7087" w:rsidRDefault="00CB7087" w:rsidP="00CB7087">
      <w:pPr>
        <w:spacing w:line="240" w:lineRule="auto"/>
        <w:jc w:val="right"/>
        <w:rPr>
          <w:rFonts w:ascii="Arial" w:hAnsi="Arial" w:cs="Arial"/>
          <w:b/>
          <w:i/>
          <w:sz w:val="24"/>
          <w:szCs w:val="24"/>
        </w:rPr>
      </w:pPr>
      <w:r w:rsidRPr="00CB7087">
        <w:rPr>
          <w:rFonts w:ascii="Arial" w:hAnsi="Arial" w:cs="Arial"/>
          <w:b/>
          <w:i/>
          <w:sz w:val="24"/>
          <w:szCs w:val="24"/>
        </w:rPr>
        <w:t>Patricio Villarroel Vergara</w:t>
      </w:r>
      <w:r>
        <w:rPr>
          <w:rFonts w:ascii="Arial" w:hAnsi="Arial" w:cs="Arial"/>
          <w:b/>
          <w:i/>
          <w:sz w:val="24"/>
          <w:szCs w:val="24"/>
        </w:rPr>
        <w:t xml:space="preserve"> (*)</w:t>
      </w:r>
    </w:p>
    <w:p w:rsidR="00CB7087" w:rsidRPr="00CB7087" w:rsidRDefault="00CB7087" w:rsidP="00CB7087">
      <w:pPr>
        <w:spacing w:line="240" w:lineRule="auto"/>
        <w:jc w:val="left"/>
        <w:rPr>
          <w:rFonts w:ascii="Arial" w:hAnsi="Arial" w:cs="Arial"/>
          <w:b/>
          <w:sz w:val="24"/>
          <w:szCs w:val="24"/>
        </w:rPr>
      </w:pPr>
    </w:p>
    <w:p w:rsidR="00AD7502" w:rsidRPr="00CB7087" w:rsidRDefault="00AD7502" w:rsidP="00CB7087">
      <w:pPr>
        <w:spacing w:line="240" w:lineRule="auto"/>
        <w:jc w:val="left"/>
        <w:rPr>
          <w:rFonts w:ascii="Arial" w:hAnsi="Arial" w:cs="Arial"/>
          <w:sz w:val="24"/>
          <w:szCs w:val="24"/>
        </w:rPr>
      </w:pPr>
    </w:p>
    <w:p w:rsidR="00EB4311" w:rsidRPr="00CB7087" w:rsidRDefault="00CB7087" w:rsidP="00CB7087">
      <w:pPr>
        <w:spacing w:line="240" w:lineRule="auto"/>
        <w:jc w:val="left"/>
        <w:rPr>
          <w:rFonts w:ascii="Arial" w:hAnsi="Arial" w:cs="Arial"/>
          <w:b/>
          <w:sz w:val="24"/>
          <w:szCs w:val="24"/>
          <w:lang w:val="es-CL"/>
        </w:rPr>
      </w:pPr>
      <w:r w:rsidRPr="00CB7087">
        <w:rPr>
          <w:rFonts w:ascii="Arial" w:hAnsi="Arial" w:cs="Arial"/>
          <w:b/>
          <w:sz w:val="24"/>
          <w:szCs w:val="24"/>
        </w:rPr>
        <w:t xml:space="preserve">1.- Diagnostico </w:t>
      </w:r>
      <w:r>
        <w:rPr>
          <w:rFonts w:ascii="Arial" w:hAnsi="Arial" w:cs="Arial"/>
          <w:b/>
          <w:sz w:val="24"/>
          <w:szCs w:val="24"/>
        </w:rPr>
        <w:t xml:space="preserve">ámbito </w:t>
      </w:r>
      <w:r w:rsidRPr="00CB7087">
        <w:rPr>
          <w:rFonts w:ascii="Arial" w:hAnsi="Arial" w:cs="Arial"/>
          <w:b/>
          <w:sz w:val="24"/>
          <w:szCs w:val="24"/>
          <w:lang w:val="es-CL"/>
        </w:rPr>
        <w:t>nacional</w:t>
      </w:r>
    </w:p>
    <w:p w:rsidR="00CB7087" w:rsidRPr="00CB7087" w:rsidRDefault="00CB7087" w:rsidP="00CB7087">
      <w:pPr>
        <w:spacing w:line="240" w:lineRule="auto"/>
        <w:ind w:left="0" w:firstLine="0"/>
        <w:jc w:val="left"/>
        <w:rPr>
          <w:rFonts w:ascii="Arial" w:hAnsi="Arial" w:cs="Arial"/>
          <w:sz w:val="24"/>
          <w:szCs w:val="24"/>
          <w:shd w:val="clear" w:color="auto" w:fill="FFFFFF"/>
        </w:rPr>
      </w:pPr>
    </w:p>
    <w:p w:rsidR="00EB4311" w:rsidRPr="00CB7087" w:rsidRDefault="00EB4311" w:rsidP="00CB7087">
      <w:pPr>
        <w:spacing w:line="240" w:lineRule="auto"/>
        <w:ind w:left="0" w:firstLine="0"/>
        <w:jc w:val="left"/>
        <w:rPr>
          <w:rFonts w:ascii="Arial" w:hAnsi="Arial" w:cs="Arial"/>
          <w:sz w:val="24"/>
          <w:szCs w:val="24"/>
          <w:shd w:val="clear" w:color="auto" w:fill="FFFFFF"/>
        </w:rPr>
      </w:pPr>
      <w:r w:rsidRPr="00CB7087">
        <w:rPr>
          <w:rFonts w:ascii="Arial" w:hAnsi="Arial" w:cs="Arial"/>
          <w:sz w:val="24"/>
          <w:szCs w:val="24"/>
          <w:shd w:val="clear" w:color="auto" w:fill="FFFFFF"/>
        </w:rPr>
        <w:t>En un 15% disminuyó el déficit habitacional cuantitativo (familias que no tienen vivienda) a nivel nacional, respecto del año 2013. Entre los años 2013 a 2015, este indicador se redujo de 459.347 a 391.546 unidades, alcanzando su más bajo nivel histórico, lo que representa una reducción de más de 67 mil unidades.</w:t>
      </w:r>
    </w:p>
    <w:p w:rsidR="00CB7087" w:rsidRDefault="00CB7087" w:rsidP="00CB7087">
      <w:pPr>
        <w:pStyle w:val="NormalWeb"/>
        <w:shd w:val="clear" w:color="auto" w:fill="FFFFFF"/>
        <w:spacing w:before="0" w:beforeAutospacing="0" w:after="0" w:afterAutospacing="0"/>
        <w:rPr>
          <w:rFonts w:ascii="Arial" w:hAnsi="Arial" w:cs="Arial"/>
        </w:rPr>
      </w:pPr>
    </w:p>
    <w:p w:rsidR="00EB4311" w:rsidRPr="00CB7087" w:rsidRDefault="00EB4311" w:rsidP="00CB7087">
      <w:pPr>
        <w:pStyle w:val="NormalWeb"/>
        <w:shd w:val="clear" w:color="auto" w:fill="FFFFFF"/>
        <w:spacing w:before="0" w:beforeAutospacing="0" w:after="0" w:afterAutospacing="0"/>
        <w:rPr>
          <w:rFonts w:ascii="Arial" w:hAnsi="Arial" w:cs="Arial"/>
        </w:rPr>
      </w:pPr>
      <w:r w:rsidRPr="00CB7087">
        <w:rPr>
          <w:rFonts w:ascii="Arial" w:hAnsi="Arial" w:cs="Arial"/>
        </w:rPr>
        <w:t>De acuerdo a la Casen 2015, la caída en el déficit habitacional cuantitativo se concentra especialmente en hogares allegados y núcleos familiares en situación de hacinamiento, que caen en un 21,3% y 13,1%, respectivamente.</w:t>
      </w:r>
    </w:p>
    <w:p w:rsidR="00EB4311" w:rsidRDefault="00EB4311" w:rsidP="00CB7087">
      <w:pPr>
        <w:pStyle w:val="NormalWeb"/>
        <w:shd w:val="clear" w:color="auto" w:fill="FFFFFF"/>
        <w:spacing w:before="0" w:beforeAutospacing="0" w:after="0" w:afterAutospacing="0"/>
        <w:rPr>
          <w:rFonts w:ascii="Arial" w:hAnsi="Arial" w:cs="Arial"/>
        </w:rPr>
      </w:pPr>
      <w:r w:rsidRPr="00CB7087">
        <w:rPr>
          <w:rFonts w:ascii="Arial" w:hAnsi="Arial" w:cs="Arial"/>
        </w:rPr>
        <w:t>Por su parte, el número de hogares que habitan en viviendas precarias (viviendas irrecuperables), por su parte, llegan a las 38.904 en 2015, no mostrando variaciones significativas entre 2013 y 2015.</w:t>
      </w:r>
    </w:p>
    <w:p w:rsidR="00CB7087" w:rsidRPr="00CB7087" w:rsidRDefault="00CB7087" w:rsidP="00CB7087">
      <w:pPr>
        <w:pStyle w:val="NormalWeb"/>
        <w:shd w:val="clear" w:color="auto" w:fill="FFFFFF"/>
        <w:spacing w:before="0" w:beforeAutospacing="0" w:after="0" w:afterAutospacing="0"/>
        <w:rPr>
          <w:rFonts w:ascii="Arial" w:hAnsi="Arial" w:cs="Arial"/>
        </w:rPr>
      </w:pPr>
    </w:p>
    <w:p w:rsidR="00EB4311" w:rsidRDefault="00EB4311" w:rsidP="00CB7087">
      <w:pPr>
        <w:pStyle w:val="NormalWeb"/>
        <w:shd w:val="clear" w:color="auto" w:fill="FFFFFF"/>
        <w:spacing w:before="0" w:beforeAutospacing="0" w:after="0" w:afterAutospacing="0"/>
        <w:rPr>
          <w:rFonts w:ascii="Arial" w:hAnsi="Arial" w:cs="Arial"/>
        </w:rPr>
      </w:pPr>
      <w:r w:rsidRPr="00CB7087">
        <w:rPr>
          <w:rFonts w:ascii="Arial" w:hAnsi="Arial" w:cs="Arial"/>
        </w:rPr>
        <w:t>Este patrón es consistente con el elevado porcentaje de hogares que accede a vivienda propia, que al año 2015 llega al 63,6% del total de hogares y al 64,1% de los hogares de menor ingreso (quintil I de ingreso autónomo per cápita). Al mismo tiempo, hay un aumento en la participación del arriendo de un 18,6% a un 20%.</w:t>
      </w:r>
    </w:p>
    <w:p w:rsidR="00CB7087" w:rsidRPr="00CB7087" w:rsidRDefault="00CB7087" w:rsidP="00CB7087">
      <w:pPr>
        <w:pStyle w:val="NormalWeb"/>
        <w:shd w:val="clear" w:color="auto" w:fill="FFFFFF"/>
        <w:spacing w:before="0" w:beforeAutospacing="0" w:after="0" w:afterAutospacing="0"/>
        <w:rPr>
          <w:rFonts w:ascii="Arial" w:hAnsi="Arial" w:cs="Arial"/>
        </w:rPr>
      </w:pPr>
    </w:p>
    <w:p w:rsidR="00EB4311" w:rsidRDefault="00EB4311" w:rsidP="00CB7087">
      <w:pPr>
        <w:pStyle w:val="NormalWeb"/>
        <w:shd w:val="clear" w:color="auto" w:fill="FFFFFF"/>
        <w:spacing w:before="0" w:beforeAutospacing="0" w:after="0" w:afterAutospacing="0"/>
        <w:rPr>
          <w:rFonts w:ascii="Arial" w:hAnsi="Arial" w:cs="Arial"/>
        </w:rPr>
      </w:pPr>
      <w:r w:rsidRPr="00CB7087">
        <w:rPr>
          <w:rFonts w:ascii="Arial" w:hAnsi="Arial" w:cs="Arial"/>
        </w:rPr>
        <w:t>Asimismo, el déficit cualitativo de vivienda (indicador que mide la cantidad de viviendas que requieren ser mejoradas, reparadas o ampliadas) si bien no registra variaciones significativas a nivel agregado, muestra disminuciones en el número de viviendas que requieren ser ampliadas y en las viviendas que requieren conexión o mejora a servicios sanitarios básicos.</w:t>
      </w:r>
    </w:p>
    <w:p w:rsidR="00CB7087" w:rsidRPr="00CB7087" w:rsidRDefault="00CB7087" w:rsidP="00CB7087">
      <w:pPr>
        <w:pStyle w:val="NormalWeb"/>
        <w:shd w:val="clear" w:color="auto" w:fill="FFFFFF"/>
        <w:spacing w:before="0" w:beforeAutospacing="0" w:after="0" w:afterAutospacing="0"/>
        <w:rPr>
          <w:rFonts w:ascii="Arial" w:hAnsi="Arial" w:cs="Arial"/>
        </w:rPr>
      </w:pPr>
    </w:p>
    <w:p w:rsidR="00EB4311" w:rsidRPr="00CB7087" w:rsidRDefault="00EB4311" w:rsidP="00CB7087">
      <w:pPr>
        <w:pStyle w:val="NormalWeb"/>
        <w:shd w:val="clear" w:color="auto" w:fill="FFFFFF"/>
        <w:spacing w:before="0" w:beforeAutospacing="0" w:after="0" w:afterAutospacing="0"/>
        <w:rPr>
          <w:rFonts w:ascii="Arial" w:hAnsi="Arial" w:cs="Arial"/>
        </w:rPr>
      </w:pPr>
      <w:r w:rsidRPr="00CB7087">
        <w:rPr>
          <w:rFonts w:ascii="Arial" w:hAnsi="Arial" w:cs="Arial"/>
        </w:rPr>
        <w:t xml:space="preserve">Estos cambios son confirmados por la significativa disminución observada en el porcentaje de hogares que se encuentra en situación de hacinamiento (con 2,5 </w:t>
      </w:r>
      <w:proofErr w:type="spellStart"/>
      <w:r w:rsidRPr="00CB7087">
        <w:rPr>
          <w:rFonts w:ascii="Arial" w:hAnsi="Arial" w:cs="Arial"/>
        </w:rPr>
        <w:t>ó</w:t>
      </w:r>
      <w:proofErr w:type="spellEnd"/>
      <w:r w:rsidRPr="00CB7087">
        <w:rPr>
          <w:rFonts w:ascii="Arial" w:hAnsi="Arial" w:cs="Arial"/>
        </w:rPr>
        <w:t xml:space="preserve"> más personas por dormitorio de uso exclusivo), que baja de un 9,3% a un 7,1% entre 2013 y 2015.</w:t>
      </w:r>
    </w:p>
    <w:p w:rsidR="00EB4311" w:rsidRPr="00CB7087" w:rsidRDefault="00EB4311" w:rsidP="00CB7087">
      <w:pPr>
        <w:spacing w:line="240" w:lineRule="auto"/>
        <w:ind w:left="0" w:firstLine="0"/>
        <w:jc w:val="left"/>
        <w:rPr>
          <w:rFonts w:ascii="Arial" w:hAnsi="Arial" w:cs="Arial"/>
          <w:sz w:val="24"/>
          <w:szCs w:val="24"/>
        </w:rPr>
      </w:pPr>
    </w:p>
    <w:p w:rsidR="00EB4311" w:rsidRPr="00CB7087" w:rsidRDefault="00CB7087" w:rsidP="00CB7087">
      <w:pPr>
        <w:spacing w:line="240" w:lineRule="auto"/>
        <w:ind w:left="0" w:firstLine="0"/>
        <w:jc w:val="left"/>
        <w:rPr>
          <w:rFonts w:ascii="Arial" w:hAnsi="Arial" w:cs="Arial"/>
          <w:b/>
          <w:sz w:val="24"/>
          <w:szCs w:val="24"/>
          <w:lang w:val="es-CL"/>
        </w:rPr>
      </w:pPr>
      <w:r>
        <w:rPr>
          <w:rFonts w:ascii="Arial" w:hAnsi="Arial" w:cs="Arial"/>
          <w:b/>
          <w:sz w:val="24"/>
          <w:szCs w:val="24"/>
          <w:lang w:val="es-CL"/>
        </w:rPr>
        <w:t xml:space="preserve">2.- </w:t>
      </w:r>
      <w:proofErr w:type="spellStart"/>
      <w:r>
        <w:rPr>
          <w:rFonts w:ascii="Arial" w:hAnsi="Arial" w:cs="Arial"/>
          <w:b/>
          <w:sz w:val="24"/>
          <w:szCs w:val="24"/>
          <w:lang w:val="es-CL"/>
        </w:rPr>
        <w:t>A</w:t>
      </w:r>
      <w:r w:rsidRPr="00CB7087">
        <w:rPr>
          <w:rFonts w:ascii="Arial" w:hAnsi="Arial" w:cs="Arial"/>
          <w:b/>
          <w:sz w:val="24"/>
          <w:szCs w:val="24"/>
          <w:lang w:val="es-CL"/>
        </w:rPr>
        <w:t>mbito</w:t>
      </w:r>
      <w:proofErr w:type="spellEnd"/>
      <w:r w:rsidRPr="00CB7087">
        <w:rPr>
          <w:rFonts w:ascii="Arial" w:hAnsi="Arial" w:cs="Arial"/>
          <w:b/>
          <w:sz w:val="24"/>
          <w:szCs w:val="24"/>
          <w:lang w:val="es-CL"/>
        </w:rPr>
        <w:t xml:space="preserve"> regi</w:t>
      </w:r>
      <w:r>
        <w:rPr>
          <w:rFonts w:ascii="Arial" w:hAnsi="Arial" w:cs="Arial"/>
          <w:b/>
          <w:sz w:val="24"/>
          <w:szCs w:val="24"/>
          <w:lang w:val="es-CL"/>
        </w:rPr>
        <w:t>ó</w:t>
      </w:r>
      <w:r w:rsidRPr="00CB7087">
        <w:rPr>
          <w:rFonts w:ascii="Arial" w:hAnsi="Arial" w:cs="Arial"/>
          <w:b/>
          <w:sz w:val="24"/>
          <w:szCs w:val="24"/>
          <w:lang w:val="es-CL"/>
        </w:rPr>
        <w:t xml:space="preserve">n de </w:t>
      </w:r>
      <w:r>
        <w:rPr>
          <w:rFonts w:ascii="Arial" w:hAnsi="Arial" w:cs="Arial"/>
          <w:b/>
          <w:sz w:val="24"/>
          <w:szCs w:val="24"/>
          <w:lang w:val="es-CL"/>
        </w:rPr>
        <w:t>A</w:t>
      </w:r>
      <w:r w:rsidRPr="00CB7087">
        <w:rPr>
          <w:rFonts w:ascii="Arial" w:hAnsi="Arial" w:cs="Arial"/>
          <w:b/>
          <w:sz w:val="24"/>
          <w:szCs w:val="24"/>
          <w:lang w:val="es-CL"/>
        </w:rPr>
        <w:t>tacama</w:t>
      </w:r>
    </w:p>
    <w:p w:rsidR="00CB7087" w:rsidRDefault="00CB7087" w:rsidP="00CB7087">
      <w:pPr>
        <w:spacing w:line="240" w:lineRule="auto"/>
        <w:ind w:left="0" w:firstLine="0"/>
        <w:jc w:val="left"/>
        <w:rPr>
          <w:rFonts w:ascii="Arial" w:hAnsi="Arial" w:cs="Arial"/>
          <w:sz w:val="24"/>
          <w:szCs w:val="24"/>
          <w:lang w:val="es-CL"/>
        </w:rPr>
      </w:pPr>
    </w:p>
    <w:p w:rsidR="00C101DA" w:rsidRPr="00CB7087" w:rsidRDefault="00262120" w:rsidP="00CB7087">
      <w:pPr>
        <w:spacing w:line="240" w:lineRule="auto"/>
        <w:ind w:left="0" w:firstLine="0"/>
        <w:jc w:val="left"/>
        <w:rPr>
          <w:rFonts w:ascii="Arial" w:hAnsi="Arial" w:cs="Arial"/>
          <w:sz w:val="24"/>
          <w:szCs w:val="24"/>
        </w:rPr>
      </w:pPr>
      <w:r w:rsidRPr="00CB7087">
        <w:rPr>
          <w:rFonts w:ascii="Arial" w:hAnsi="Arial" w:cs="Arial"/>
          <w:sz w:val="24"/>
          <w:szCs w:val="24"/>
          <w:lang w:val="es-CL"/>
        </w:rPr>
        <w:t>Las ciudades de la región han experimentado un crecimiento explosivo de su población, originado por el auge económico del sector minero e industrial. Esta situación ha incrementado la demanda y el valor del suelo, materiales y de la mano de obra, lo que ha generado que la materialización y concreción de los proyectos de vivienda sea más lenta y requieran un mayor financiamiento, ya que con los montos de subsidios asignados, no alcanzan para su total financiamiento; generando un déficit de nuevas y generación de nuevos campamentos.</w:t>
      </w:r>
    </w:p>
    <w:p w:rsidR="00492976" w:rsidRPr="00CB7087" w:rsidRDefault="00492976" w:rsidP="00CB7087">
      <w:pPr>
        <w:spacing w:line="240" w:lineRule="auto"/>
        <w:jc w:val="left"/>
        <w:rPr>
          <w:rFonts w:ascii="Arial" w:hAnsi="Arial" w:cs="Arial"/>
          <w:b/>
          <w:bCs/>
          <w:sz w:val="24"/>
          <w:szCs w:val="24"/>
        </w:rPr>
      </w:pPr>
    </w:p>
    <w:p w:rsidR="00262120" w:rsidRPr="00CB7087" w:rsidRDefault="00492976" w:rsidP="00CB7087">
      <w:pPr>
        <w:spacing w:line="240" w:lineRule="auto"/>
        <w:ind w:left="0" w:firstLine="0"/>
        <w:jc w:val="left"/>
        <w:rPr>
          <w:rFonts w:ascii="Arial" w:hAnsi="Arial" w:cs="Arial"/>
          <w:bCs/>
          <w:sz w:val="24"/>
          <w:szCs w:val="24"/>
        </w:rPr>
      </w:pPr>
      <w:r w:rsidRPr="00CB7087">
        <w:rPr>
          <w:rFonts w:ascii="Arial" w:hAnsi="Arial" w:cs="Arial"/>
          <w:bCs/>
          <w:sz w:val="24"/>
          <w:szCs w:val="24"/>
        </w:rPr>
        <w:t>Según el PRECENSO 2016, en la región de Atacama existen 120.094 viviendas, presentando el siguiente déficit habitacional;</w:t>
      </w:r>
    </w:p>
    <w:p w:rsidR="00492976" w:rsidRPr="00CB7087" w:rsidRDefault="00492976" w:rsidP="00CB7087">
      <w:pPr>
        <w:spacing w:line="240" w:lineRule="auto"/>
        <w:jc w:val="left"/>
        <w:rPr>
          <w:rFonts w:ascii="Arial" w:hAnsi="Arial" w:cs="Arial"/>
          <w:b/>
          <w:bCs/>
          <w:sz w:val="24"/>
          <w:szCs w:val="24"/>
        </w:rPr>
      </w:pPr>
    </w:p>
    <w:p w:rsidR="00492976" w:rsidRPr="00CB7087" w:rsidRDefault="00492976" w:rsidP="00CB7087">
      <w:pPr>
        <w:spacing w:line="240" w:lineRule="auto"/>
        <w:jc w:val="left"/>
        <w:rPr>
          <w:rFonts w:ascii="Arial" w:hAnsi="Arial" w:cs="Arial"/>
          <w:b/>
          <w:bCs/>
          <w:sz w:val="24"/>
          <w:szCs w:val="24"/>
        </w:rPr>
      </w:pPr>
    </w:p>
    <w:p w:rsidR="00AD7502" w:rsidRPr="00CB7087" w:rsidRDefault="00AD7502" w:rsidP="00CB7087">
      <w:pPr>
        <w:spacing w:line="240" w:lineRule="auto"/>
        <w:jc w:val="left"/>
        <w:rPr>
          <w:rFonts w:ascii="Arial" w:hAnsi="Arial" w:cs="Arial"/>
          <w:sz w:val="24"/>
          <w:szCs w:val="24"/>
        </w:rPr>
      </w:pPr>
      <w:r w:rsidRPr="00CB7087">
        <w:rPr>
          <w:rFonts w:ascii="Arial" w:hAnsi="Arial" w:cs="Arial"/>
          <w:b/>
          <w:bCs/>
          <w:sz w:val="24"/>
          <w:szCs w:val="24"/>
        </w:rPr>
        <w:t xml:space="preserve">DEFICIT HABITACIONAL </w:t>
      </w:r>
    </w:p>
    <w:p w:rsidR="00AD7502" w:rsidRPr="00CB7087" w:rsidRDefault="00AD7502" w:rsidP="00CB7087">
      <w:pPr>
        <w:spacing w:line="240" w:lineRule="auto"/>
        <w:jc w:val="left"/>
        <w:rPr>
          <w:rFonts w:ascii="Arial" w:hAnsi="Arial" w:cs="Arial"/>
          <w:sz w:val="24"/>
          <w:szCs w:val="24"/>
        </w:rPr>
      </w:pPr>
      <w:r w:rsidRPr="00CB7087">
        <w:rPr>
          <w:rFonts w:ascii="Arial" w:hAnsi="Arial" w:cs="Arial"/>
          <w:noProof/>
          <w:sz w:val="24"/>
          <w:szCs w:val="24"/>
          <w:lang w:val="es-CL" w:eastAsia="es-CL"/>
        </w:rPr>
        <w:drawing>
          <wp:inline distT="0" distB="0" distL="0" distR="0" wp14:anchorId="60970C85" wp14:editId="1DC84367">
            <wp:extent cx="3541713" cy="1633537"/>
            <wp:effectExtent l="19050" t="0" r="1587" b="0"/>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1713" cy="16335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D7502" w:rsidRPr="00CB7087" w:rsidRDefault="00262120" w:rsidP="00CB7087">
      <w:pPr>
        <w:spacing w:line="240" w:lineRule="auto"/>
        <w:jc w:val="left"/>
        <w:rPr>
          <w:rFonts w:ascii="Arial" w:hAnsi="Arial" w:cs="Arial"/>
          <w:sz w:val="24"/>
          <w:szCs w:val="24"/>
        </w:rPr>
      </w:pPr>
      <w:r w:rsidRPr="00CB7087">
        <w:rPr>
          <w:rFonts w:ascii="Arial" w:hAnsi="Arial" w:cs="Arial"/>
          <w:sz w:val="24"/>
          <w:szCs w:val="24"/>
        </w:rPr>
        <w:t>Fuente: Ministerio de Vivienda y Urbanismo 2016.</w:t>
      </w:r>
    </w:p>
    <w:p w:rsidR="00262120" w:rsidRPr="00CB7087" w:rsidRDefault="00262120" w:rsidP="00CB7087">
      <w:pPr>
        <w:spacing w:line="240" w:lineRule="auto"/>
        <w:jc w:val="left"/>
        <w:rPr>
          <w:rFonts w:ascii="Arial" w:hAnsi="Arial" w:cs="Arial"/>
          <w:sz w:val="24"/>
          <w:szCs w:val="24"/>
        </w:rPr>
      </w:pPr>
    </w:p>
    <w:p w:rsidR="00AD7502" w:rsidRPr="00CB7087" w:rsidRDefault="00CB7087" w:rsidP="00CB7087">
      <w:pPr>
        <w:spacing w:line="240" w:lineRule="auto"/>
        <w:jc w:val="left"/>
        <w:rPr>
          <w:rFonts w:ascii="Arial" w:hAnsi="Arial" w:cs="Arial"/>
          <w:b/>
          <w:sz w:val="24"/>
          <w:szCs w:val="24"/>
          <w:lang w:val="es-CL"/>
        </w:rPr>
      </w:pPr>
      <w:r>
        <w:rPr>
          <w:rFonts w:ascii="Arial" w:hAnsi="Arial" w:cs="Arial"/>
          <w:b/>
          <w:sz w:val="24"/>
          <w:szCs w:val="24"/>
          <w:lang w:val="es-CL"/>
        </w:rPr>
        <w:t xml:space="preserve">3.- </w:t>
      </w:r>
      <w:r w:rsidRPr="00CB7087">
        <w:rPr>
          <w:rFonts w:ascii="Arial" w:hAnsi="Arial" w:cs="Arial"/>
          <w:b/>
          <w:sz w:val="24"/>
          <w:szCs w:val="24"/>
          <w:lang w:val="es-CL"/>
        </w:rPr>
        <w:t>Causas del déficit</w:t>
      </w:r>
    </w:p>
    <w:p w:rsidR="00CB7087" w:rsidRPr="00CB7087" w:rsidRDefault="00CB7087" w:rsidP="00CB7087">
      <w:pPr>
        <w:spacing w:line="240" w:lineRule="auto"/>
        <w:jc w:val="left"/>
        <w:rPr>
          <w:rFonts w:ascii="Arial" w:hAnsi="Arial" w:cs="Arial"/>
          <w:b/>
          <w:sz w:val="24"/>
          <w:szCs w:val="24"/>
        </w:rPr>
      </w:pPr>
    </w:p>
    <w:p w:rsidR="003F39ED" w:rsidRPr="00CB7087" w:rsidRDefault="003F39ED" w:rsidP="00CB7087">
      <w:pPr>
        <w:spacing w:line="240" w:lineRule="auto"/>
        <w:ind w:left="0" w:firstLine="0"/>
        <w:jc w:val="left"/>
        <w:rPr>
          <w:rFonts w:ascii="Arial" w:hAnsi="Arial" w:cs="Arial"/>
          <w:sz w:val="24"/>
          <w:szCs w:val="24"/>
        </w:rPr>
      </w:pPr>
      <w:r w:rsidRPr="00CB7087">
        <w:rPr>
          <w:rFonts w:ascii="Arial" w:hAnsi="Arial" w:cs="Arial"/>
          <w:bCs/>
          <w:sz w:val="24"/>
          <w:szCs w:val="24"/>
        </w:rPr>
        <w:t>1.- Carencia de suelos disponibles aptos para ejecutar proyectos habitacionales,</w:t>
      </w:r>
      <w:r w:rsidRPr="00CB7087">
        <w:rPr>
          <w:rFonts w:ascii="Arial" w:hAnsi="Arial" w:cs="Arial"/>
          <w:sz w:val="24"/>
          <w:szCs w:val="24"/>
        </w:rPr>
        <w:t xml:space="preserve"> </w:t>
      </w:r>
      <w:r w:rsidRPr="00CB7087">
        <w:rPr>
          <w:rFonts w:ascii="Arial" w:eastAsia="Times New Roman" w:hAnsi="Arial" w:cs="Arial"/>
          <w:sz w:val="24"/>
          <w:szCs w:val="24"/>
          <w:lang w:eastAsia="es-ES"/>
        </w:rPr>
        <w:t>lo que genera además un aumento en el precio del suelo, toda vez que los programas públicos de vivienda compiten con proyectos del sector privado por suelos disponibles con factibilidad sanitaria y aptitud habitacional, dificultando aún más la concreción de nuevos proyectos habitacionales, generando baja capacidad de respuestas a los requerimientos regionales.</w:t>
      </w:r>
    </w:p>
    <w:p w:rsidR="003F39ED" w:rsidRPr="00CB7087" w:rsidRDefault="003F39ED" w:rsidP="00CB7087">
      <w:pPr>
        <w:pStyle w:val="Prrafodelista"/>
        <w:spacing w:line="240" w:lineRule="auto"/>
        <w:ind w:left="644" w:firstLine="0"/>
        <w:jc w:val="left"/>
        <w:rPr>
          <w:rFonts w:ascii="Arial" w:hAnsi="Arial" w:cs="Arial"/>
          <w:sz w:val="24"/>
          <w:szCs w:val="24"/>
        </w:rPr>
      </w:pPr>
    </w:p>
    <w:p w:rsidR="003F39ED" w:rsidRPr="00CB7087" w:rsidRDefault="003F39ED" w:rsidP="00CB7087">
      <w:pPr>
        <w:pStyle w:val="Default"/>
        <w:rPr>
          <w:rFonts w:eastAsia="Times New Roman"/>
          <w:color w:val="auto"/>
          <w:lang w:eastAsia="es-ES"/>
        </w:rPr>
      </w:pPr>
      <w:r w:rsidRPr="00CB7087">
        <w:rPr>
          <w:bCs/>
          <w:color w:val="auto"/>
          <w:lang w:val="es-CL" w:eastAsia="es-ES"/>
        </w:rPr>
        <w:t xml:space="preserve">2.- Falta de contratistas y Entidades </w:t>
      </w:r>
      <w:proofErr w:type="spellStart"/>
      <w:r w:rsidRPr="00CB7087">
        <w:rPr>
          <w:bCs/>
          <w:color w:val="auto"/>
          <w:lang w:val="es-CL" w:eastAsia="es-ES"/>
        </w:rPr>
        <w:t>Patrocinantes</w:t>
      </w:r>
      <w:proofErr w:type="spellEnd"/>
      <w:r w:rsidRPr="00CB7087">
        <w:rPr>
          <w:bCs/>
          <w:color w:val="auto"/>
          <w:lang w:val="es-CL" w:eastAsia="es-ES"/>
        </w:rPr>
        <w:t xml:space="preserve">: </w:t>
      </w:r>
      <w:r w:rsidR="00262120" w:rsidRPr="00CB7087">
        <w:rPr>
          <w:rFonts w:eastAsia="Times New Roman"/>
          <w:color w:val="auto"/>
          <w:lang w:eastAsia="es-ES"/>
        </w:rPr>
        <w:t>La Región cuenta con solo 11</w:t>
      </w:r>
      <w:r w:rsidRPr="00CB7087">
        <w:rPr>
          <w:rFonts w:eastAsia="Times New Roman"/>
          <w:color w:val="auto"/>
          <w:lang w:eastAsia="es-ES"/>
        </w:rPr>
        <w:t xml:space="preserve"> Entidades </w:t>
      </w:r>
      <w:proofErr w:type="spellStart"/>
      <w:r w:rsidRPr="00CB7087">
        <w:rPr>
          <w:rFonts w:eastAsia="Times New Roman"/>
          <w:color w:val="auto"/>
          <w:lang w:eastAsia="es-ES"/>
        </w:rPr>
        <w:t>Patrocinantes</w:t>
      </w:r>
      <w:proofErr w:type="spellEnd"/>
      <w:r w:rsidRPr="00CB7087">
        <w:rPr>
          <w:rFonts w:eastAsia="Times New Roman"/>
          <w:color w:val="auto"/>
          <w:lang w:eastAsia="es-ES"/>
        </w:rPr>
        <w:t xml:space="preserve"> (EP) inscritos en Registro Nacional de Contratistas, de las cuales 7 son municipales y  4 son privadas, las cuales no cubren la totalidad de la demanda de los comités y organizaciones comunitarias generada en cada comuna, dificultando la entrega de información y el desarrollo de proyectos de la calidad necesaria definido por normativa.</w:t>
      </w:r>
    </w:p>
    <w:p w:rsidR="003F39ED" w:rsidRPr="00CB7087" w:rsidRDefault="003F39ED" w:rsidP="00CB7087">
      <w:pPr>
        <w:pStyle w:val="Default"/>
        <w:rPr>
          <w:rFonts w:eastAsia="Times New Roman"/>
          <w:color w:val="auto"/>
          <w:lang w:eastAsia="es-ES"/>
        </w:rPr>
      </w:pPr>
    </w:p>
    <w:p w:rsidR="003F39ED" w:rsidRPr="00CB7087" w:rsidRDefault="003F39ED" w:rsidP="00CB7087">
      <w:pPr>
        <w:pStyle w:val="Default"/>
        <w:rPr>
          <w:color w:val="auto"/>
          <w:lang w:val="es-CL" w:eastAsia="es-ES"/>
        </w:rPr>
      </w:pPr>
      <w:r w:rsidRPr="00CB7087">
        <w:rPr>
          <w:bCs/>
          <w:color w:val="auto"/>
          <w:lang w:val="es-CL"/>
        </w:rPr>
        <w:t>3.- Dificultad para encontrar  Mano de Obra</w:t>
      </w:r>
      <w:r w:rsidRPr="00CB7087">
        <w:rPr>
          <w:color w:val="auto"/>
          <w:lang w:val="es-CL"/>
        </w:rPr>
        <w:t xml:space="preserve">: </w:t>
      </w:r>
      <w:r w:rsidRPr="00CB7087">
        <w:rPr>
          <w:color w:val="auto"/>
          <w:lang w:val="es-CL" w:eastAsia="es-ES"/>
        </w:rPr>
        <w:t>La falta de mano de obra para la ejecución de nuestros proyectos de construcción, y su consecuente aumento de costos, se debe al gran desarrollo del sector minero en la Región de Atacama, lo cual ha hecho perder la viabilidad económica de proyectos en ejecución y también de algunos en licitación. Esta es una realidad que no solo afecta a Vivienda sino a todas las obras publicas de la región.</w:t>
      </w:r>
    </w:p>
    <w:p w:rsidR="003F39ED" w:rsidRPr="00CB7087" w:rsidRDefault="003F39ED" w:rsidP="00CB7087">
      <w:pPr>
        <w:pStyle w:val="Default"/>
        <w:ind w:left="644"/>
        <w:rPr>
          <w:color w:val="984806" w:themeColor="accent6" w:themeShade="80"/>
          <w:lang w:val="es-CL" w:eastAsia="es-ES"/>
        </w:rPr>
      </w:pPr>
    </w:p>
    <w:p w:rsidR="003F39ED" w:rsidRPr="00CB7087" w:rsidRDefault="003F39ED" w:rsidP="00CB7087">
      <w:pPr>
        <w:pStyle w:val="Default"/>
        <w:rPr>
          <w:color w:val="auto"/>
          <w:lang w:val="es-CL" w:eastAsia="es-ES"/>
        </w:rPr>
      </w:pPr>
      <w:r w:rsidRPr="00CB7087">
        <w:rPr>
          <w:bCs/>
          <w:color w:val="auto"/>
          <w:lang w:val="es-CL" w:eastAsia="es-ES"/>
        </w:rPr>
        <w:t>4.- Insuficiente Valor de Subsidios:</w:t>
      </w:r>
      <w:r w:rsidRPr="00CB7087">
        <w:rPr>
          <w:color w:val="auto"/>
          <w:lang w:val="es-CL" w:eastAsia="es-ES"/>
        </w:rPr>
        <w:t xml:space="preserve"> Estos montos que bordean entre los 380 a 520 Unidades de Fomento no cubren todos los costos constructivos de los proyectos de vivienda social, generando situaciones de baja viabilidad de ejecución de las obras, deserción de empresas en los procesos constructivos y la no presentación de las mismas en los procesos de licitación de estas obras.</w:t>
      </w:r>
    </w:p>
    <w:p w:rsidR="00AD7502" w:rsidRPr="00CB7087" w:rsidRDefault="00AD7502" w:rsidP="00CB7087">
      <w:pPr>
        <w:spacing w:line="240" w:lineRule="auto"/>
        <w:ind w:left="0" w:firstLine="0"/>
        <w:jc w:val="left"/>
        <w:rPr>
          <w:rFonts w:ascii="Arial" w:hAnsi="Arial" w:cs="Arial"/>
          <w:sz w:val="24"/>
          <w:szCs w:val="24"/>
        </w:rPr>
      </w:pPr>
    </w:p>
    <w:p w:rsidR="00AD7502" w:rsidRPr="00CB7087" w:rsidRDefault="00CB7087" w:rsidP="00CB7087">
      <w:pPr>
        <w:spacing w:line="240" w:lineRule="auto"/>
        <w:jc w:val="left"/>
        <w:rPr>
          <w:rFonts w:ascii="Arial" w:hAnsi="Arial" w:cs="Arial"/>
          <w:b/>
          <w:sz w:val="24"/>
          <w:szCs w:val="24"/>
        </w:rPr>
      </w:pPr>
      <w:r>
        <w:rPr>
          <w:rFonts w:ascii="Arial" w:hAnsi="Arial" w:cs="Arial"/>
          <w:b/>
          <w:sz w:val="24"/>
          <w:szCs w:val="24"/>
        </w:rPr>
        <w:t>4.- Situació</w:t>
      </w:r>
      <w:r w:rsidRPr="00CB7087">
        <w:rPr>
          <w:rFonts w:ascii="Arial" w:hAnsi="Arial" w:cs="Arial"/>
          <w:b/>
          <w:sz w:val="24"/>
          <w:szCs w:val="24"/>
        </w:rPr>
        <w:t>n de campamentos</w:t>
      </w:r>
    </w:p>
    <w:p w:rsidR="00070B54" w:rsidRPr="00CB7087" w:rsidRDefault="00070B54" w:rsidP="00CB7087">
      <w:pPr>
        <w:spacing w:line="240" w:lineRule="auto"/>
        <w:jc w:val="left"/>
        <w:rPr>
          <w:rFonts w:ascii="Arial" w:hAnsi="Arial" w:cs="Arial"/>
          <w:sz w:val="24"/>
          <w:szCs w:val="24"/>
        </w:rPr>
      </w:pPr>
    </w:p>
    <w:p w:rsidR="00B332A4" w:rsidRPr="00CB7087" w:rsidRDefault="00070B54" w:rsidP="00CB7087">
      <w:pPr>
        <w:spacing w:line="240" w:lineRule="auto"/>
        <w:ind w:left="0" w:firstLine="0"/>
        <w:jc w:val="left"/>
        <w:rPr>
          <w:rFonts w:ascii="Arial" w:hAnsi="Arial" w:cs="Arial"/>
          <w:sz w:val="24"/>
          <w:szCs w:val="24"/>
        </w:rPr>
      </w:pPr>
      <w:r w:rsidRPr="00CB7087">
        <w:rPr>
          <w:rFonts w:ascii="Arial" w:hAnsi="Arial" w:cs="Arial"/>
          <w:sz w:val="24"/>
          <w:szCs w:val="24"/>
        </w:rPr>
        <w:t xml:space="preserve">En </w:t>
      </w:r>
      <w:r w:rsidR="00CD6F4B" w:rsidRPr="00CB7087">
        <w:rPr>
          <w:rFonts w:ascii="Arial" w:hAnsi="Arial" w:cs="Arial"/>
          <w:sz w:val="24"/>
          <w:szCs w:val="24"/>
        </w:rPr>
        <w:t xml:space="preserve">la región de </w:t>
      </w:r>
      <w:r w:rsidRPr="00CB7087">
        <w:rPr>
          <w:rFonts w:ascii="Arial" w:hAnsi="Arial" w:cs="Arial"/>
          <w:sz w:val="24"/>
          <w:szCs w:val="24"/>
        </w:rPr>
        <w:t xml:space="preserve">Atacama </w:t>
      </w:r>
      <w:r w:rsidR="00CD6F4B" w:rsidRPr="00CB7087">
        <w:rPr>
          <w:rFonts w:ascii="Arial" w:hAnsi="Arial" w:cs="Arial"/>
          <w:sz w:val="24"/>
          <w:szCs w:val="24"/>
        </w:rPr>
        <w:t>existen</w:t>
      </w:r>
      <w:r w:rsidRPr="00CB7087">
        <w:rPr>
          <w:rFonts w:ascii="Arial" w:hAnsi="Arial" w:cs="Arial"/>
          <w:sz w:val="24"/>
          <w:szCs w:val="24"/>
        </w:rPr>
        <w:t xml:space="preserve"> 45 campamentos en los que habitan 2.582 familias. Los campamentos de la región se encuentran ubicados principalmente en las comunas de Copiapó y Tierra Amarilla. Se caracterizan porque la mayoría (80%) se sitúan en zonas urbanas. </w:t>
      </w:r>
    </w:p>
    <w:p w:rsidR="00D634CA" w:rsidRPr="00CB7087" w:rsidRDefault="00D634CA" w:rsidP="00CB7087">
      <w:pPr>
        <w:spacing w:line="240" w:lineRule="auto"/>
        <w:ind w:left="0" w:firstLine="0"/>
        <w:jc w:val="left"/>
        <w:rPr>
          <w:rFonts w:ascii="Arial" w:hAnsi="Arial" w:cs="Arial"/>
          <w:sz w:val="24"/>
          <w:szCs w:val="24"/>
        </w:rPr>
      </w:pPr>
    </w:p>
    <w:p w:rsidR="00070B54" w:rsidRPr="00CB7087" w:rsidRDefault="00070B54" w:rsidP="00CB7087">
      <w:pPr>
        <w:spacing w:line="240" w:lineRule="auto"/>
        <w:ind w:left="0" w:firstLine="0"/>
        <w:jc w:val="left"/>
        <w:rPr>
          <w:rFonts w:ascii="Arial" w:hAnsi="Arial" w:cs="Arial"/>
          <w:sz w:val="24"/>
          <w:szCs w:val="24"/>
        </w:rPr>
      </w:pPr>
      <w:r w:rsidRPr="00CB7087">
        <w:rPr>
          <w:rFonts w:ascii="Arial" w:hAnsi="Arial" w:cs="Arial"/>
          <w:sz w:val="24"/>
          <w:szCs w:val="24"/>
        </w:rPr>
        <w:lastRenderedPageBreak/>
        <w:t>Con respecto a la evolución en el tiempo del número de campamentos en la región de Atacama, es posible dar cuenta que prácticamente se duplicaron, creciendo en gran medida el núm</w:t>
      </w:r>
      <w:r w:rsidR="00362F33" w:rsidRPr="00CB7087">
        <w:rPr>
          <w:rFonts w:ascii="Arial" w:hAnsi="Arial" w:cs="Arial"/>
          <w:sz w:val="24"/>
          <w:szCs w:val="24"/>
        </w:rPr>
        <w:t>ero de familias en campamentos en un 130,9% en comparación al catastro del año 2011</w:t>
      </w:r>
      <w:r w:rsidR="00B332A4" w:rsidRPr="00CB7087">
        <w:rPr>
          <w:rFonts w:ascii="Arial" w:hAnsi="Arial" w:cs="Arial"/>
          <w:sz w:val="24"/>
          <w:szCs w:val="24"/>
        </w:rPr>
        <w:t xml:space="preserve"> (de 1.061 a 2.581 familias y de 27 a 45 campamentos)</w:t>
      </w:r>
      <w:r w:rsidR="00362F33" w:rsidRPr="00CB7087">
        <w:rPr>
          <w:rFonts w:ascii="Arial" w:hAnsi="Arial" w:cs="Arial"/>
          <w:sz w:val="24"/>
          <w:szCs w:val="24"/>
        </w:rPr>
        <w:t>.</w:t>
      </w:r>
    </w:p>
    <w:p w:rsidR="00070B54" w:rsidRPr="00CB7087" w:rsidRDefault="00070B54" w:rsidP="00CB7087">
      <w:pPr>
        <w:spacing w:line="240" w:lineRule="auto"/>
        <w:ind w:left="0" w:firstLine="0"/>
        <w:jc w:val="left"/>
        <w:rPr>
          <w:rFonts w:ascii="Arial" w:hAnsi="Arial" w:cs="Arial"/>
          <w:sz w:val="24"/>
          <w:szCs w:val="24"/>
        </w:rPr>
      </w:pPr>
    </w:p>
    <w:p w:rsidR="00D634CA" w:rsidRPr="00CB7087" w:rsidRDefault="00D634CA" w:rsidP="00CB7087">
      <w:pPr>
        <w:spacing w:line="240" w:lineRule="auto"/>
        <w:ind w:left="0" w:firstLine="0"/>
        <w:jc w:val="left"/>
        <w:rPr>
          <w:rFonts w:ascii="Arial" w:hAnsi="Arial" w:cs="Arial"/>
          <w:sz w:val="24"/>
          <w:szCs w:val="24"/>
        </w:rPr>
      </w:pPr>
    </w:p>
    <w:p w:rsidR="00D634CA" w:rsidRDefault="00D634CA" w:rsidP="00CB7087">
      <w:pPr>
        <w:spacing w:line="240" w:lineRule="auto"/>
        <w:ind w:left="0" w:firstLine="0"/>
        <w:jc w:val="left"/>
        <w:rPr>
          <w:rFonts w:ascii="Arial" w:hAnsi="Arial" w:cs="Arial"/>
          <w:b/>
          <w:sz w:val="24"/>
          <w:szCs w:val="24"/>
        </w:rPr>
      </w:pPr>
      <w:r w:rsidRPr="00CB7087">
        <w:rPr>
          <w:rFonts w:ascii="Arial" w:hAnsi="Arial" w:cs="Arial"/>
          <w:b/>
          <w:sz w:val="24"/>
          <w:szCs w:val="24"/>
        </w:rPr>
        <w:t>Distribución de Campamentos por Comuna</w:t>
      </w:r>
    </w:p>
    <w:p w:rsidR="00CB7087" w:rsidRPr="00CB7087" w:rsidRDefault="00CB7087" w:rsidP="00CB7087">
      <w:pPr>
        <w:spacing w:line="240" w:lineRule="auto"/>
        <w:ind w:left="0" w:firstLine="0"/>
        <w:jc w:val="left"/>
        <w:rPr>
          <w:rFonts w:ascii="Arial" w:hAnsi="Arial" w:cs="Arial"/>
          <w:b/>
          <w:sz w:val="24"/>
          <w:szCs w:val="24"/>
        </w:rPr>
      </w:pPr>
    </w:p>
    <w:tbl>
      <w:tblPr>
        <w:tblStyle w:val="Tablaconcuadrcula"/>
        <w:tblW w:w="0" w:type="auto"/>
        <w:tblLook w:val="04A0" w:firstRow="1" w:lastRow="0" w:firstColumn="1" w:lastColumn="0" w:noHBand="0" w:noVBand="1"/>
      </w:tblPr>
      <w:tblGrid>
        <w:gridCol w:w="2235"/>
        <w:gridCol w:w="1870"/>
        <w:gridCol w:w="1701"/>
      </w:tblGrid>
      <w:tr w:rsidR="00D634CA" w:rsidRPr="00CB7087" w:rsidTr="00D634CA">
        <w:tc>
          <w:tcPr>
            <w:tcW w:w="2235"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COMUNA</w:t>
            </w:r>
          </w:p>
        </w:tc>
        <w:tc>
          <w:tcPr>
            <w:tcW w:w="1842"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Nª Campamentos</w:t>
            </w:r>
          </w:p>
        </w:tc>
        <w:tc>
          <w:tcPr>
            <w:tcW w:w="1701"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Nª Familias</w:t>
            </w:r>
          </w:p>
        </w:tc>
      </w:tr>
      <w:tr w:rsidR="00D634CA" w:rsidRPr="00CB7087" w:rsidTr="00D634CA">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CHAÑARAL</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3</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84</w:t>
            </w:r>
          </w:p>
        </w:tc>
      </w:tr>
      <w:tr w:rsidR="00D634CA" w:rsidRPr="00CB7087" w:rsidTr="00D634CA">
        <w:trPr>
          <w:trHeight w:val="409"/>
        </w:trPr>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DIEGO DE ALMAGRO</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3</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87</w:t>
            </w:r>
          </w:p>
        </w:tc>
      </w:tr>
      <w:tr w:rsidR="00D634CA" w:rsidRPr="00CB7087" w:rsidTr="00D634CA">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COPIAPO</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25</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1.562</w:t>
            </w:r>
          </w:p>
        </w:tc>
      </w:tr>
      <w:tr w:rsidR="00D634CA" w:rsidRPr="00CB7087" w:rsidTr="00D634CA">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TIERRA AMARILLA</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6</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385</w:t>
            </w:r>
          </w:p>
        </w:tc>
      </w:tr>
      <w:tr w:rsidR="00D634CA" w:rsidRPr="00CB7087" w:rsidTr="00D634CA">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VALLENAR</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4</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215</w:t>
            </w:r>
          </w:p>
        </w:tc>
      </w:tr>
      <w:tr w:rsidR="00D634CA" w:rsidRPr="00CB7087" w:rsidTr="00D634CA">
        <w:tc>
          <w:tcPr>
            <w:tcW w:w="2235"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HUASCO</w:t>
            </w:r>
          </w:p>
        </w:tc>
        <w:tc>
          <w:tcPr>
            <w:tcW w:w="1842"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4</w:t>
            </w:r>
          </w:p>
        </w:tc>
        <w:tc>
          <w:tcPr>
            <w:tcW w:w="1701" w:type="dxa"/>
          </w:tcPr>
          <w:p w:rsidR="00D634CA" w:rsidRPr="00CB7087" w:rsidRDefault="00D634CA" w:rsidP="00CB7087">
            <w:pPr>
              <w:ind w:left="0" w:firstLine="0"/>
              <w:jc w:val="left"/>
              <w:rPr>
                <w:rFonts w:ascii="Arial" w:hAnsi="Arial" w:cs="Arial"/>
                <w:sz w:val="24"/>
                <w:szCs w:val="24"/>
              </w:rPr>
            </w:pPr>
            <w:r w:rsidRPr="00CB7087">
              <w:rPr>
                <w:rFonts w:ascii="Arial" w:hAnsi="Arial" w:cs="Arial"/>
                <w:sz w:val="24"/>
                <w:szCs w:val="24"/>
              </w:rPr>
              <w:t>249</w:t>
            </w:r>
          </w:p>
        </w:tc>
      </w:tr>
      <w:tr w:rsidR="00D634CA" w:rsidRPr="00CB7087" w:rsidTr="00D634CA">
        <w:tc>
          <w:tcPr>
            <w:tcW w:w="2235"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TOTAL</w:t>
            </w:r>
          </w:p>
        </w:tc>
        <w:tc>
          <w:tcPr>
            <w:tcW w:w="1842"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45</w:t>
            </w:r>
          </w:p>
        </w:tc>
        <w:tc>
          <w:tcPr>
            <w:tcW w:w="1701" w:type="dxa"/>
          </w:tcPr>
          <w:p w:rsidR="00D634CA" w:rsidRPr="00CB7087" w:rsidRDefault="00D634CA" w:rsidP="00CB7087">
            <w:pPr>
              <w:ind w:left="0" w:firstLine="0"/>
              <w:jc w:val="left"/>
              <w:rPr>
                <w:rFonts w:ascii="Arial" w:hAnsi="Arial" w:cs="Arial"/>
                <w:b/>
                <w:sz w:val="24"/>
                <w:szCs w:val="24"/>
              </w:rPr>
            </w:pPr>
            <w:r w:rsidRPr="00CB7087">
              <w:rPr>
                <w:rFonts w:ascii="Arial" w:hAnsi="Arial" w:cs="Arial"/>
                <w:b/>
                <w:sz w:val="24"/>
                <w:szCs w:val="24"/>
              </w:rPr>
              <w:t>2.582</w:t>
            </w:r>
          </w:p>
        </w:tc>
      </w:tr>
    </w:tbl>
    <w:p w:rsidR="00D634CA" w:rsidRPr="00CB7087" w:rsidRDefault="00D634CA" w:rsidP="00CB7087">
      <w:pPr>
        <w:spacing w:line="240" w:lineRule="auto"/>
        <w:ind w:left="0" w:firstLine="0"/>
        <w:jc w:val="left"/>
        <w:rPr>
          <w:rFonts w:ascii="Arial" w:hAnsi="Arial" w:cs="Arial"/>
          <w:sz w:val="24"/>
          <w:szCs w:val="24"/>
        </w:rPr>
      </w:pPr>
    </w:p>
    <w:p w:rsidR="003977AB" w:rsidRPr="00CB7087" w:rsidRDefault="00B332A4" w:rsidP="00CB7087">
      <w:pPr>
        <w:spacing w:line="240" w:lineRule="auto"/>
        <w:ind w:left="0" w:firstLine="0"/>
        <w:jc w:val="left"/>
        <w:rPr>
          <w:rFonts w:ascii="Arial" w:hAnsi="Arial" w:cs="Arial"/>
          <w:sz w:val="24"/>
          <w:szCs w:val="24"/>
        </w:rPr>
      </w:pPr>
      <w:r w:rsidRPr="00CB7087">
        <w:rPr>
          <w:rFonts w:ascii="Arial" w:hAnsi="Arial" w:cs="Arial"/>
          <w:sz w:val="24"/>
          <w:szCs w:val="24"/>
        </w:rPr>
        <w:t>I</w:t>
      </w:r>
      <w:r w:rsidR="00362F33" w:rsidRPr="00CB7087">
        <w:rPr>
          <w:rFonts w:ascii="Arial" w:hAnsi="Arial" w:cs="Arial"/>
          <w:sz w:val="24"/>
          <w:szCs w:val="24"/>
        </w:rPr>
        <w:t>mpresiona el aumento en el número de familias que habitan en asentamientos precarios</w:t>
      </w:r>
      <w:r w:rsidRPr="00CB7087">
        <w:rPr>
          <w:rFonts w:ascii="Arial" w:hAnsi="Arial" w:cs="Arial"/>
          <w:sz w:val="24"/>
          <w:szCs w:val="24"/>
        </w:rPr>
        <w:t xml:space="preserve"> en nuestra región, lo cual entrega </w:t>
      </w:r>
      <w:r w:rsidR="00362F33" w:rsidRPr="00CB7087">
        <w:rPr>
          <w:rFonts w:ascii="Arial" w:hAnsi="Arial" w:cs="Arial"/>
          <w:sz w:val="24"/>
          <w:szCs w:val="24"/>
        </w:rPr>
        <w:t xml:space="preserve">señales de que las políticas de </w:t>
      </w:r>
      <w:r w:rsidRPr="00CB7087">
        <w:rPr>
          <w:rFonts w:ascii="Arial" w:hAnsi="Arial" w:cs="Arial"/>
          <w:sz w:val="24"/>
          <w:szCs w:val="24"/>
        </w:rPr>
        <w:t>públicas en materia de vivienda</w:t>
      </w:r>
      <w:r w:rsidR="00362F33" w:rsidRPr="00CB7087">
        <w:rPr>
          <w:rFonts w:ascii="Arial" w:hAnsi="Arial" w:cs="Arial"/>
          <w:sz w:val="24"/>
          <w:szCs w:val="24"/>
        </w:rPr>
        <w:t>,</w:t>
      </w:r>
      <w:r w:rsidRPr="00CB7087">
        <w:rPr>
          <w:rFonts w:ascii="Arial" w:hAnsi="Arial" w:cs="Arial"/>
          <w:sz w:val="24"/>
          <w:szCs w:val="24"/>
        </w:rPr>
        <w:t xml:space="preserve"> </w:t>
      </w:r>
      <w:r w:rsidR="00362F33" w:rsidRPr="00CB7087">
        <w:rPr>
          <w:rFonts w:ascii="Arial" w:hAnsi="Arial" w:cs="Arial"/>
          <w:sz w:val="24"/>
          <w:szCs w:val="24"/>
        </w:rPr>
        <w:t xml:space="preserve"> </w:t>
      </w:r>
      <w:r w:rsidRPr="00CB7087">
        <w:rPr>
          <w:rFonts w:ascii="Arial" w:hAnsi="Arial" w:cs="Arial"/>
          <w:sz w:val="24"/>
          <w:szCs w:val="24"/>
        </w:rPr>
        <w:t xml:space="preserve">si bien </w:t>
      </w:r>
      <w:r w:rsidR="00362F33" w:rsidRPr="00CB7087">
        <w:rPr>
          <w:rFonts w:ascii="Arial" w:hAnsi="Arial" w:cs="Arial"/>
          <w:sz w:val="24"/>
          <w:szCs w:val="24"/>
        </w:rPr>
        <w:t xml:space="preserve">han relocalizado a una parte importante de las personas en esta situación, </w:t>
      </w:r>
      <w:r w:rsidRPr="00CB7087">
        <w:rPr>
          <w:rFonts w:ascii="Arial" w:hAnsi="Arial" w:cs="Arial"/>
          <w:sz w:val="24"/>
          <w:szCs w:val="24"/>
        </w:rPr>
        <w:t>no se han adaptado al dinamismo de los requerimientos de viviendas sociales por parte de la población</w:t>
      </w:r>
      <w:r w:rsidR="00362F33" w:rsidRPr="00CB7087">
        <w:rPr>
          <w:rFonts w:ascii="Arial" w:hAnsi="Arial" w:cs="Arial"/>
          <w:sz w:val="24"/>
          <w:szCs w:val="24"/>
        </w:rPr>
        <w:t>.</w:t>
      </w:r>
      <w:r w:rsidRPr="00CB7087">
        <w:rPr>
          <w:rFonts w:ascii="Arial" w:hAnsi="Arial" w:cs="Arial"/>
          <w:sz w:val="24"/>
          <w:szCs w:val="24"/>
        </w:rPr>
        <w:t xml:space="preserve"> </w:t>
      </w:r>
    </w:p>
    <w:p w:rsidR="003977AB" w:rsidRPr="00CB7087" w:rsidRDefault="003977AB" w:rsidP="00CB7087">
      <w:pPr>
        <w:spacing w:line="240" w:lineRule="auto"/>
        <w:ind w:left="0" w:firstLine="0"/>
        <w:jc w:val="left"/>
        <w:rPr>
          <w:rFonts w:ascii="Arial" w:hAnsi="Arial" w:cs="Arial"/>
          <w:sz w:val="24"/>
          <w:szCs w:val="24"/>
        </w:rPr>
      </w:pPr>
    </w:p>
    <w:p w:rsidR="00B332A4" w:rsidRPr="00CB7087" w:rsidRDefault="00B332A4" w:rsidP="00CB7087">
      <w:pPr>
        <w:spacing w:line="240" w:lineRule="auto"/>
        <w:ind w:left="0" w:firstLine="0"/>
        <w:jc w:val="left"/>
        <w:rPr>
          <w:rFonts w:ascii="Arial" w:hAnsi="Arial" w:cs="Arial"/>
          <w:sz w:val="24"/>
          <w:szCs w:val="24"/>
        </w:rPr>
      </w:pPr>
      <w:r w:rsidRPr="00CB7087">
        <w:rPr>
          <w:rFonts w:ascii="Arial" w:hAnsi="Arial" w:cs="Arial"/>
          <w:sz w:val="24"/>
          <w:szCs w:val="24"/>
        </w:rPr>
        <w:t>Por ello, e</w:t>
      </w:r>
      <w:r w:rsidR="00362F33" w:rsidRPr="00CB7087">
        <w:rPr>
          <w:rFonts w:ascii="Arial" w:hAnsi="Arial" w:cs="Arial"/>
          <w:sz w:val="24"/>
          <w:szCs w:val="24"/>
        </w:rPr>
        <w:t xml:space="preserve">s necesario ampliar </w:t>
      </w:r>
      <w:r w:rsidRPr="00CB7087">
        <w:rPr>
          <w:rFonts w:ascii="Arial" w:hAnsi="Arial" w:cs="Arial"/>
          <w:sz w:val="24"/>
          <w:szCs w:val="24"/>
        </w:rPr>
        <w:t>el enfoque</w:t>
      </w:r>
      <w:r w:rsidR="00362F33" w:rsidRPr="00CB7087">
        <w:rPr>
          <w:rFonts w:ascii="Arial" w:hAnsi="Arial" w:cs="Arial"/>
          <w:sz w:val="24"/>
          <w:szCs w:val="24"/>
        </w:rPr>
        <w:t xml:space="preserve"> y comprender que el fenómeno de los campamentos n</w:t>
      </w:r>
      <w:r w:rsidRPr="00CB7087">
        <w:rPr>
          <w:rFonts w:ascii="Arial" w:hAnsi="Arial" w:cs="Arial"/>
          <w:sz w:val="24"/>
          <w:szCs w:val="24"/>
        </w:rPr>
        <w:t>o solamente abarca a quienes</w:t>
      </w:r>
      <w:r w:rsidR="00362F33" w:rsidRPr="00CB7087">
        <w:rPr>
          <w:rFonts w:ascii="Arial" w:hAnsi="Arial" w:cs="Arial"/>
          <w:sz w:val="24"/>
          <w:szCs w:val="24"/>
        </w:rPr>
        <w:t xml:space="preserve"> viven en </w:t>
      </w:r>
      <w:r w:rsidRPr="00CB7087">
        <w:rPr>
          <w:rFonts w:ascii="Arial" w:hAnsi="Arial" w:cs="Arial"/>
          <w:sz w:val="24"/>
          <w:szCs w:val="24"/>
        </w:rPr>
        <w:t>esta condición ni tampoco puede ser entendida desde una lógica de disminución de números, puesto que el foco debe estar en la búsqueda de dignidad y mejores condiciones de vida para estas familias, a través de programas integrales, con avances por etapas, para</w:t>
      </w:r>
      <w:r w:rsidR="003977AB" w:rsidRPr="00CB7087">
        <w:rPr>
          <w:rFonts w:ascii="Arial" w:hAnsi="Arial" w:cs="Arial"/>
          <w:sz w:val="24"/>
          <w:szCs w:val="24"/>
        </w:rPr>
        <w:t xml:space="preserve"> </w:t>
      </w:r>
      <w:r w:rsidRPr="00CB7087">
        <w:rPr>
          <w:rFonts w:ascii="Arial" w:hAnsi="Arial" w:cs="Arial"/>
          <w:sz w:val="24"/>
          <w:szCs w:val="24"/>
        </w:rPr>
        <w:t>qué dentro de un periodo acotado ellas puedan encontrar soluciones definitivas a sus necesidades.</w:t>
      </w:r>
    </w:p>
    <w:p w:rsidR="00B332A4" w:rsidRPr="00CB7087" w:rsidRDefault="00B332A4" w:rsidP="00CB7087">
      <w:pPr>
        <w:spacing w:line="240" w:lineRule="auto"/>
        <w:ind w:left="0" w:firstLine="0"/>
        <w:jc w:val="left"/>
        <w:rPr>
          <w:rFonts w:ascii="Arial" w:hAnsi="Arial" w:cs="Arial"/>
          <w:sz w:val="24"/>
          <w:szCs w:val="24"/>
        </w:rPr>
      </w:pPr>
    </w:p>
    <w:p w:rsidR="00A668D3" w:rsidRDefault="00CB7087" w:rsidP="00CB7087">
      <w:pPr>
        <w:spacing w:line="240" w:lineRule="auto"/>
        <w:jc w:val="left"/>
        <w:rPr>
          <w:rFonts w:ascii="Arial" w:hAnsi="Arial" w:cs="Arial"/>
          <w:b/>
          <w:sz w:val="24"/>
          <w:szCs w:val="24"/>
        </w:rPr>
      </w:pPr>
      <w:r>
        <w:rPr>
          <w:rFonts w:ascii="Arial" w:hAnsi="Arial" w:cs="Arial"/>
          <w:b/>
          <w:sz w:val="24"/>
          <w:szCs w:val="24"/>
        </w:rPr>
        <w:t>5.- C</w:t>
      </w:r>
      <w:r w:rsidRPr="00CB7087">
        <w:rPr>
          <w:rFonts w:ascii="Arial" w:hAnsi="Arial" w:cs="Arial"/>
          <w:b/>
          <w:sz w:val="24"/>
          <w:szCs w:val="24"/>
        </w:rPr>
        <w:t>onvenio de programaci</w:t>
      </w:r>
      <w:r>
        <w:rPr>
          <w:rFonts w:ascii="Arial" w:hAnsi="Arial" w:cs="Arial"/>
          <w:b/>
          <w:sz w:val="24"/>
          <w:szCs w:val="24"/>
        </w:rPr>
        <w:t>ó</w:t>
      </w:r>
      <w:r w:rsidRPr="00CB7087">
        <w:rPr>
          <w:rFonts w:ascii="Arial" w:hAnsi="Arial" w:cs="Arial"/>
          <w:b/>
          <w:sz w:val="24"/>
          <w:szCs w:val="24"/>
        </w:rPr>
        <w:t xml:space="preserve">n MINVU </w:t>
      </w:r>
      <w:r>
        <w:rPr>
          <w:rFonts w:ascii="Arial" w:hAnsi="Arial" w:cs="Arial"/>
          <w:b/>
          <w:sz w:val="24"/>
          <w:szCs w:val="24"/>
        </w:rPr>
        <w:t>–</w:t>
      </w:r>
      <w:r w:rsidRPr="00CB7087">
        <w:rPr>
          <w:rFonts w:ascii="Arial" w:hAnsi="Arial" w:cs="Arial"/>
          <w:b/>
          <w:sz w:val="24"/>
          <w:szCs w:val="24"/>
        </w:rPr>
        <w:t xml:space="preserve"> GORE</w:t>
      </w:r>
    </w:p>
    <w:p w:rsidR="00CB7087" w:rsidRPr="00CB7087" w:rsidRDefault="00CB7087" w:rsidP="00CB7087">
      <w:pPr>
        <w:spacing w:line="240" w:lineRule="auto"/>
        <w:jc w:val="left"/>
        <w:rPr>
          <w:rFonts w:ascii="Arial" w:hAnsi="Arial" w:cs="Arial"/>
          <w:b/>
          <w:sz w:val="24"/>
          <w:szCs w:val="24"/>
        </w:rPr>
      </w:pPr>
    </w:p>
    <w:p w:rsidR="00A668D3" w:rsidRPr="00CB7087" w:rsidRDefault="00A668D3" w:rsidP="00CB7087">
      <w:pPr>
        <w:spacing w:line="240" w:lineRule="auto"/>
        <w:ind w:left="0" w:firstLine="0"/>
        <w:jc w:val="left"/>
        <w:rPr>
          <w:rFonts w:ascii="Arial" w:hAnsi="Arial" w:cs="Arial"/>
          <w:sz w:val="24"/>
          <w:szCs w:val="24"/>
        </w:rPr>
      </w:pPr>
      <w:r w:rsidRPr="00CB7087">
        <w:rPr>
          <w:rFonts w:ascii="Arial" w:hAnsi="Arial" w:cs="Arial"/>
          <w:sz w:val="24"/>
          <w:szCs w:val="24"/>
          <w:lang w:val="es-ES_tradnl"/>
        </w:rPr>
        <w:t xml:space="preserve">El Gobierno Regional de Atacama y el MINVU acuerdan suscribir un Convenio de Programación para el financiamiento compartido de inversión pública, que busca reducir progresivamente el déficit habitacional en la Región, logrando un desarrollo equitativo en sus distintas comunas, facilitando a las familias más vulnerables y de clase media, el acceso a una solución habitacional. El presente convenio permitirá viabilizar la construcción de viviendas a través de los Programas Fondo Solidario de Elección de Vivienda (FSEV) - D.S. N° 49 y de Habitabilidad Rural - DS N° 10. </w:t>
      </w:r>
    </w:p>
    <w:p w:rsidR="00A668D3" w:rsidRPr="00CB7087" w:rsidRDefault="00A668D3" w:rsidP="00CB7087">
      <w:pPr>
        <w:spacing w:line="240" w:lineRule="auto"/>
        <w:ind w:left="0" w:firstLine="0"/>
        <w:jc w:val="left"/>
        <w:rPr>
          <w:rFonts w:ascii="Arial" w:hAnsi="Arial" w:cs="Arial"/>
          <w:sz w:val="24"/>
          <w:szCs w:val="24"/>
        </w:rPr>
      </w:pPr>
    </w:p>
    <w:p w:rsidR="00ED0EA2" w:rsidRPr="00CB7087" w:rsidRDefault="00ED0EA2" w:rsidP="00CB7087">
      <w:pPr>
        <w:spacing w:line="240" w:lineRule="auto"/>
        <w:ind w:left="0" w:firstLine="0"/>
        <w:jc w:val="left"/>
        <w:rPr>
          <w:rFonts w:ascii="Arial" w:hAnsi="Arial" w:cs="Arial"/>
          <w:sz w:val="24"/>
          <w:szCs w:val="24"/>
        </w:rPr>
      </w:pPr>
      <w:r w:rsidRPr="00CB7087">
        <w:rPr>
          <w:rFonts w:ascii="Arial" w:hAnsi="Arial" w:cs="Arial"/>
          <w:sz w:val="24"/>
          <w:szCs w:val="24"/>
        </w:rPr>
        <w:t xml:space="preserve">Los recursos que se otorgarán para este cofinanciamiento MINVU – GORE Atacama por años es el siguiente; </w:t>
      </w:r>
      <w:r w:rsidR="00FD30D4" w:rsidRPr="00CB7087">
        <w:rPr>
          <w:rFonts w:ascii="Arial" w:hAnsi="Arial" w:cs="Arial"/>
          <w:sz w:val="24"/>
          <w:szCs w:val="24"/>
        </w:rPr>
        <w:t xml:space="preserve"> (Fuente MINVU Atacama)</w:t>
      </w:r>
    </w:p>
    <w:tbl>
      <w:tblPr>
        <w:tblW w:w="6394" w:type="dxa"/>
        <w:tblCellMar>
          <w:left w:w="0" w:type="dxa"/>
          <w:right w:w="0" w:type="dxa"/>
        </w:tblCellMar>
        <w:tblLook w:val="04A0" w:firstRow="1" w:lastRow="0" w:firstColumn="1" w:lastColumn="0" w:noHBand="0" w:noVBand="1"/>
      </w:tblPr>
      <w:tblGrid>
        <w:gridCol w:w="1575"/>
        <w:gridCol w:w="1417"/>
        <w:gridCol w:w="1701"/>
        <w:gridCol w:w="1701"/>
      </w:tblGrid>
      <w:tr w:rsidR="00ED0EA2" w:rsidRPr="00CB7087" w:rsidTr="00FD30D4">
        <w:trPr>
          <w:trHeight w:val="733"/>
        </w:trPr>
        <w:tc>
          <w:tcPr>
            <w:tcW w:w="1575" w:type="dxa"/>
            <w:tcBorders>
              <w:top w:val="single" w:sz="8" w:space="0" w:color="000000"/>
              <w:left w:val="single" w:sz="8"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lastRenderedPageBreak/>
              <w:t>AÑO</w:t>
            </w:r>
          </w:p>
        </w:tc>
        <w:tc>
          <w:tcPr>
            <w:tcW w:w="1417" w:type="dxa"/>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APORTE GORE M$</w:t>
            </w:r>
          </w:p>
        </w:tc>
        <w:tc>
          <w:tcPr>
            <w:tcW w:w="1701" w:type="dxa"/>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APORTE MINVU M$</w:t>
            </w:r>
          </w:p>
        </w:tc>
        <w:tc>
          <w:tcPr>
            <w:tcW w:w="1701" w:type="dxa"/>
            <w:tcBorders>
              <w:top w:val="single" w:sz="8" w:space="0" w:color="000000"/>
              <w:left w:val="single" w:sz="4"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MONTO PROYECTO M$</w:t>
            </w:r>
          </w:p>
        </w:tc>
      </w:tr>
      <w:tr w:rsidR="00ED0EA2" w:rsidRPr="00CB7087" w:rsidTr="00FD30D4">
        <w:trPr>
          <w:trHeight w:val="361"/>
        </w:trPr>
        <w:tc>
          <w:tcPr>
            <w:tcW w:w="1575"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2017</w:t>
            </w: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865.404</w:t>
            </w:r>
          </w:p>
        </w:tc>
        <w:tc>
          <w:tcPr>
            <w:tcW w:w="170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8.871.100</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9.736.504</w:t>
            </w:r>
          </w:p>
        </w:tc>
      </w:tr>
      <w:tr w:rsidR="00ED0EA2" w:rsidRPr="00CB7087" w:rsidTr="00FD30D4">
        <w:trPr>
          <w:trHeight w:val="361"/>
        </w:trPr>
        <w:tc>
          <w:tcPr>
            <w:tcW w:w="157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13.136.000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14.136.000</w:t>
            </w:r>
          </w:p>
        </w:tc>
      </w:tr>
      <w:tr w:rsidR="00ED0EA2" w:rsidRPr="00CB7087" w:rsidTr="00FD30D4">
        <w:trPr>
          <w:trHeight w:val="361"/>
        </w:trPr>
        <w:tc>
          <w:tcPr>
            <w:tcW w:w="157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3.000.000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14.000.000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17.000.000</w:t>
            </w:r>
          </w:p>
        </w:tc>
      </w:tr>
      <w:tr w:rsidR="00ED0EA2" w:rsidRPr="00CB7087" w:rsidTr="00FD30D4">
        <w:trPr>
          <w:trHeight w:val="361"/>
        </w:trPr>
        <w:tc>
          <w:tcPr>
            <w:tcW w:w="157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5.000.000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14.000.000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19.000.000</w:t>
            </w:r>
          </w:p>
        </w:tc>
      </w:tr>
      <w:tr w:rsidR="00ED0EA2" w:rsidRPr="00CB7087" w:rsidTr="00FD30D4">
        <w:trPr>
          <w:trHeight w:val="361"/>
        </w:trPr>
        <w:tc>
          <w:tcPr>
            <w:tcW w:w="157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5.000.000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15.000.000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20.000.000</w:t>
            </w:r>
          </w:p>
        </w:tc>
      </w:tr>
      <w:tr w:rsidR="00ED0EA2" w:rsidRPr="00CB7087" w:rsidTr="00FD30D4">
        <w:trPr>
          <w:trHeight w:val="379"/>
        </w:trPr>
        <w:tc>
          <w:tcPr>
            <w:tcW w:w="157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2022</w:t>
            </w: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5.000.000</w:t>
            </w:r>
          </w:p>
        </w:tc>
        <w:tc>
          <w:tcPr>
            <w:tcW w:w="170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sz w:val="24"/>
                <w:szCs w:val="24"/>
                <w:lang w:val="es-CL"/>
              </w:rPr>
              <w:t>15.000.000</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20.000.000</w:t>
            </w:r>
          </w:p>
        </w:tc>
      </w:tr>
      <w:tr w:rsidR="00ED0EA2" w:rsidRPr="00CB7087" w:rsidTr="00FD30D4">
        <w:trPr>
          <w:trHeight w:val="379"/>
        </w:trPr>
        <w:tc>
          <w:tcPr>
            <w:tcW w:w="1575"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TOTAL</w:t>
            </w:r>
          </w:p>
        </w:tc>
        <w:tc>
          <w:tcPr>
            <w:tcW w:w="1417"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19.865.404</w:t>
            </w:r>
          </w:p>
        </w:tc>
        <w:tc>
          <w:tcPr>
            <w:tcW w:w="1701"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80.007.100</w:t>
            </w:r>
          </w:p>
        </w:tc>
        <w:tc>
          <w:tcPr>
            <w:tcW w:w="1701"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E02C72" w:rsidRPr="00CB7087" w:rsidRDefault="00ED0EA2" w:rsidP="00CB7087">
            <w:pPr>
              <w:spacing w:line="240" w:lineRule="auto"/>
              <w:jc w:val="left"/>
              <w:rPr>
                <w:rFonts w:ascii="Arial" w:hAnsi="Arial" w:cs="Arial"/>
                <w:sz w:val="24"/>
                <w:szCs w:val="24"/>
              </w:rPr>
            </w:pPr>
            <w:r w:rsidRPr="00CB7087">
              <w:rPr>
                <w:rFonts w:ascii="Arial" w:hAnsi="Arial" w:cs="Arial"/>
                <w:b/>
                <w:bCs/>
                <w:sz w:val="24"/>
                <w:szCs w:val="24"/>
                <w:lang w:val="es-CL"/>
              </w:rPr>
              <w:t>99.872.504</w:t>
            </w:r>
          </w:p>
        </w:tc>
      </w:tr>
    </w:tbl>
    <w:p w:rsidR="00070B54" w:rsidRPr="00CB7087" w:rsidRDefault="00070B54" w:rsidP="00CB7087">
      <w:pPr>
        <w:spacing w:line="240" w:lineRule="auto"/>
        <w:jc w:val="left"/>
        <w:rPr>
          <w:rFonts w:ascii="Arial" w:hAnsi="Arial" w:cs="Arial"/>
          <w:sz w:val="24"/>
          <w:szCs w:val="24"/>
        </w:rPr>
      </w:pPr>
    </w:p>
    <w:p w:rsidR="00ED0EA2" w:rsidRPr="00CB7087" w:rsidRDefault="00A668D3" w:rsidP="00CB7087">
      <w:pPr>
        <w:spacing w:line="240" w:lineRule="auto"/>
        <w:ind w:left="0" w:firstLine="0"/>
        <w:jc w:val="left"/>
        <w:rPr>
          <w:rFonts w:ascii="Arial" w:hAnsi="Arial" w:cs="Arial"/>
          <w:sz w:val="24"/>
          <w:szCs w:val="24"/>
        </w:rPr>
      </w:pPr>
      <w:r w:rsidRPr="00CB7087">
        <w:rPr>
          <w:rFonts w:ascii="Arial" w:hAnsi="Arial" w:cs="Arial"/>
          <w:sz w:val="24"/>
          <w:szCs w:val="24"/>
          <w:lang w:val="es-CL"/>
        </w:rPr>
        <w:t xml:space="preserve">Este convenio comenzara su implementación  con la construcción de las siguientes proyectos de vivienda social </w:t>
      </w:r>
      <w:r w:rsidR="00ED0EA2" w:rsidRPr="00CB7087">
        <w:rPr>
          <w:rFonts w:ascii="Arial" w:hAnsi="Arial" w:cs="Arial"/>
          <w:sz w:val="24"/>
          <w:szCs w:val="24"/>
          <w:lang w:val="es-CL"/>
        </w:rPr>
        <w:t xml:space="preserve"> y sus obras serán</w:t>
      </w:r>
      <w:r w:rsidRPr="00CB7087">
        <w:rPr>
          <w:rFonts w:ascii="Arial" w:hAnsi="Arial" w:cs="Arial"/>
          <w:sz w:val="24"/>
          <w:szCs w:val="24"/>
          <w:lang w:val="es-CL"/>
        </w:rPr>
        <w:t xml:space="preserve"> iniciadas el presente año 2017;</w:t>
      </w:r>
    </w:p>
    <w:p w:rsidR="00ED0EA2" w:rsidRPr="00CB7087" w:rsidRDefault="00ED0EA2" w:rsidP="00CB7087">
      <w:pPr>
        <w:spacing w:line="240" w:lineRule="auto"/>
        <w:jc w:val="left"/>
        <w:rPr>
          <w:rFonts w:ascii="Arial" w:hAnsi="Arial" w:cs="Arial"/>
          <w:sz w:val="24"/>
          <w:szCs w:val="24"/>
          <w:lang w:val="es-CL"/>
        </w:rPr>
      </w:pPr>
      <w:r w:rsidRPr="00CB7087">
        <w:rPr>
          <w:rFonts w:ascii="Arial" w:hAnsi="Arial" w:cs="Arial"/>
          <w:sz w:val="24"/>
          <w:szCs w:val="24"/>
          <w:lang w:val="es-CL"/>
        </w:rPr>
        <w:t xml:space="preserve"> </w:t>
      </w:r>
    </w:p>
    <w:p w:rsidR="00ED0EA2" w:rsidRPr="00CB7087" w:rsidRDefault="001000F1" w:rsidP="00CB7087">
      <w:pPr>
        <w:spacing w:line="240" w:lineRule="auto"/>
        <w:jc w:val="left"/>
        <w:rPr>
          <w:rFonts w:ascii="Arial" w:hAnsi="Arial" w:cs="Arial"/>
          <w:sz w:val="24"/>
          <w:szCs w:val="24"/>
          <w:lang w:val="es-CL"/>
        </w:rPr>
      </w:pPr>
      <w:r w:rsidRPr="00CB7087">
        <w:rPr>
          <w:rFonts w:ascii="Arial" w:hAnsi="Arial" w:cs="Arial"/>
          <w:noProof/>
          <w:sz w:val="24"/>
          <w:szCs w:val="24"/>
          <w:lang w:val="es-CL" w:eastAsia="es-CL"/>
        </w:rPr>
        <w:drawing>
          <wp:inline distT="0" distB="0" distL="0" distR="0" wp14:anchorId="26CE8E47" wp14:editId="5D34F4AF">
            <wp:extent cx="5398936" cy="238539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385879"/>
                    </a:xfrm>
                    <a:prstGeom prst="rect">
                      <a:avLst/>
                    </a:prstGeom>
                    <a:noFill/>
                    <a:ln w="9525">
                      <a:noFill/>
                      <a:miter lim="800000"/>
                      <a:headEnd/>
                      <a:tailEnd/>
                    </a:ln>
                  </pic:spPr>
                </pic:pic>
              </a:graphicData>
            </a:graphic>
          </wp:inline>
        </w:drawing>
      </w:r>
    </w:p>
    <w:p w:rsidR="00ED0EA2" w:rsidRPr="00CB7087" w:rsidRDefault="00FD30D4" w:rsidP="00CB7087">
      <w:pPr>
        <w:spacing w:line="240" w:lineRule="auto"/>
        <w:jc w:val="left"/>
        <w:rPr>
          <w:rFonts w:ascii="Arial" w:hAnsi="Arial" w:cs="Arial"/>
          <w:sz w:val="24"/>
          <w:szCs w:val="24"/>
        </w:rPr>
      </w:pPr>
      <w:r w:rsidRPr="00CB7087">
        <w:rPr>
          <w:rFonts w:ascii="Arial" w:hAnsi="Arial" w:cs="Arial"/>
          <w:sz w:val="24"/>
          <w:szCs w:val="24"/>
        </w:rPr>
        <w:t>(Fuente MINVU Atacama)</w:t>
      </w:r>
    </w:p>
    <w:p w:rsidR="00FD30D4" w:rsidRPr="00CB7087" w:rsidRDefault="00FD30D4" w:rsidP="00CB7087">
      <w:pPr>
        <w:spacing w:line="240" w:lineRule="auto"/>
        <w:jc w:val="left"/>
        <w:rPr>
          <w:rFonts w:ascii="Arial" w:hAnsi="Arial" w:cs="Arial"/>
          <w:sz w:val="24"/>
          <w:szCs w:val="24"/>
        </w:rPr>
      </w:pPr>
    </w:p>
    <w:p w:rsidR="00ED0EA2" w:rsidRPr="00CB7087" w:rsidRDefault="00A668D3" w:rsidP="00CB7087">
      <w:pPr>
        <w:spacing w:line="240" w:lineRule="auto"/>
        <w:ind w:left="0" w:firstLine="0"/>
        <w:jc w:val="left"/>
        <w:rPr>
          <w:rFonts w:ascii="Arial" w:hAnsi="Arial" w:cs="Arial"/>
          <w:sz w:val="24"/>
          <w:szCs w:val="24"/>
        </w:rPr>
      </w:pPr>
      <w:r w:rsidRPr="00CB7087">
        <w:rPr>
          <w:rFonts w:ascii="Arial" w:hAnsi="Arial" w:cs="Arial"/>
          <w:sz w:val="24"/>
          <w:szCs w:val="24"/>
          <w:lang w:val="es-CL"/>
        </w:rPr>
        <w:t>Dada</w:t>
      </w:r>
      <w:r w:rsidR="00ED0EA2" w:rsidRPr="00CB7087">
        <w:rPr>
          <w:rFonts w:ascii="Arial" w:hAnsi="Arial" w:cs="Arial"/>
          <w:sz w:val="24"/>
          <w:szCs w:val="24"/>
          <w:lang w:val="es-CL"/>
        </w:rPr>
        <w:t xml:space="preserve"> la duración </w:t>
      </w:r>
      <w:r w:rsidRPr="00CB7087">
        <w:rPr>
          <w:rFonts w:ascii="Arial" w:hAnsi="Arial" w:cs="Arial"/>
          <w:sz w:val="24"/>
          <w:szCs w:val="24"/>
          <w:lang w:val="es-CL"/>
        </w:rPr>
        <w:t xml:space="preserve">y montos </w:t>
      </w:r>
      <w:r w:rsidR="00ED0EA2" w:rsidRPr="00CB7087">
        <w:rPr>
          <w:rFonts w:ascii="Arial" w:hAnsi="Arial" w:cs="Arial"/>
          <w:sz w:val="24"/>
          <w:szCs w:val="24"/>
          <w:lang w:val="es-CL"/>
        </w:rPr>
        <w:t>del convenio, se incorporarán más proyectos habit</w:t>
      </w:r>
      <w:r w:rsidR="000D7877" w:rsidRPr="00CB7087">
        <w:rPr>
          <w:rFonts w:ascii="Arial" w:hAnsi="Arial" w:cs="Arial"/>
          <w:sz w:val="24"/>
          <w:szCs w:val="24"/>
          <w:lang w:val="es-CL"/>
        </w:rPr>
        <w:t xml:space="preserve">acionales en los años venideros, por lo cual es importe generar un </w:t>
      </w:r>
      <w:r w:rsidR="000D7877" w:rsidRPr="00CB7087">
        <w:rPr>
          <w:rFonts w:ascii="Arial" w:hAnsi="Arial" w:cs="Arial"/>
          <w:b/>
          <w:sz w:val="24"/>
          <w:szCs w:val="24"/>
          <w:lang w:val="es-CL"/>
        </w:rPr>
        <w:t>Plan Habitacional Regional</w:t>
      </w:r>
      <w:r w:rsidR="000D7877" w:rsidRPr="00CB7087">
        <w:rPr>
          <w:rFonts w:ascii="Arial" w:hAnsi="Arial" w:cs="Arial"/>
          <w:sz w:val="24"/>
          <w:szCs w:val="24"/>
          <w:lang w:val="es-CL"/>
        </w:rPr>
        <w:t xml:space="preserve"> que permita generar la mayor cantidad de viviendas posibles con los recursos comprometidos a través de este importante instrumento (</w:t>
      </w:r>
      <w:r w:rsidR="00F73398" w:rsidRPr="00CB7087">
        <w:rPr>
          <w:rFonts w:ascii="Arial" w:hAnsi="Arial" w:cs="Arial"/>
          <w:sz w:val="24"/>
          <w:szCs w:val="24"/>
          <w:lang w:val="es-CL"/>
        </w:rPr>
        <w:t>77</w:t>
      </w:r>
      <w:r w:rsidRPr="00CB7087">
        <w:rPr>
          <w:rFonts w:ascii="Arial" w:hAnsi="Arial" w:cs="Arial"/>
          <w:sz w:val="24"/>
          <w:szCs w:val="24"/>
          <w:lang w:val="es-CL"/>
        </w:rPr>
        <w:t xml:space="preserve"> mil millones disponibles, descontando el listado anterior de proyectos)</w:t>
      </w:r>
      <w:r w:rsidR="000D7877" w:rsidRPr="00CB7087">
        <w:rPr>
          <w:rFonts w:ascii="Arial" w:hAnsi="Arial" w:cs="Arial"/>
          <w:sz w:val="24"/>
          <w:szCs w:val="24"/>
          <w:lang w:val="es-CL"/>
        </w:rPr>
        <w:t>.</w:t>
      </w:r>
      <w:r w:rsidR="00ED0EA2" w:rsidRPr="00CB7087">
        <w:rPr>
          <w:rFonts w:ascii="Arial" w:hAnsi="Arial" w:cs="Arial"/>
          <w:sz w:val="24"/>
          <w:szCs w:val="24"/>
          <w:lang w:val="es-CL"/>
        </w:rPr>
        <w:t xml:space="preserve"> </w:t>
      </w:r>
    </w:p>
    <w:p w:rsidR="00070B54" w:rsidRPr="00CB7087" w:rsidRDefault="00070B54" w:rsidP="00CB7087">
      <w:pPr>
        <w:spacing w:line="240" w:lineRule="auto"/>
        <w:jc w:val="left"/>
        <w:rPr>
          <w:rFonts w:ascii="Arial" w:hAnsi="Arial" w:cs="Arial"/>
          <w:sz w:val="24"/>
          <w:szCs w:val="24"/>
        </w:rPr>
      </w:pPr>
    </w:p>
    <w:p w:rsidR="00070B54" w:rsidRPr="00CB7087" w:rsidRDefault="00CB7087" w:rsidP="00CB7087">
      <w:pPr>
        <w:spacing w:line="240" w:lineRule="auto"/>
        <w:jc w:val="left"/>
        <w:rPr>
          <w:rFonts w:ascii="Arial" w:hAnsi="Arial" w:cs="Arial"/>
          <w:b/>
          <w:sz w:val="24"/>
          <w:szCs w:val="24"/>
        </w:rPr>
      </w:pPr>
      <w:r>
        <w:rPr>
          <w:rFonts w:ascii="Arial" w:hAnsi="Arial" w:cs="Arial"/>
          <w:b/>
          <w:sz w:val="24"/>
          <w:szCs w:val="24"/>
        </w:rPr>
        <w:t>C</w:t>
      </w:r>
      <w:r w:rsidRPr="00CB7087">
        <w:rPr>
          <w:rFonts w:ascii="Arial" w:hAnsi="Arial" w:cs="Arial"/>
          <w:b/>
          <w:sz w:val="24"/>
          <w:szCs w:val="24"/>
        </w:rPr>
        <w:t>onclusiones y propuestas</w:t>
      </w:r>
    </w:p>
    <w:p w:rsidR="00C31DBB" w:rsidRPr="00CB7087" w:rsidRDefault="00C31DBB" w:rsidP="00CB7087">
      <w:pPr>
        <w:spacing w:line="240" w:lineRule="auto"/>
        <w:jc w:val="left"/>
        <w:rPr>
          <w:rFonts w:ascii="Arial" w:hAnsi="Arial" w:cs="Arial"/>
          <w:sz w:val="24"/>
          <w:szCs w:val="24"/>
        </w:rPr>
      </w:pPr>
    </w:p>
    <w:p w:rsidR="00C31DBB" w:rsidRPr="00CB7087" w:rsidRDefault="00C31DBB" w:rsidP="00CB7087">
      <w:pPr>
        <w:spacing w:line="240" w:lineRule="auto"/>
        <w:jc w:val="left"/>
        <w:rPr>
          <w:rFonts w:ascii="Arial" w:hAnsi="Arial" w:cs="Arial"/>
          <w:sz w:val="24"/>
          <w:szCs w:val="24"/>
          <w:shd w:val="clear" w:color="auto" w:fill="FFFFFF"/>
        </w:rPr>
      </w:pPr>
      <w:r w:rsidRPr="00CB7087">
        <w:rPr>
          <w:rFonts w:ascii="Arial" w:hAnsi="Arial" w:cs="Arial"/>
          <w:sz w:val="24"/>
          <w:szCs w:val="24"/>
        </w:rPr>
        <w:t xml:space="preserve">1.-  </w:t>
      </w:r>
      <w:r w:rsidRPr="00CB7087">
        <w:rPr>
          <w:rFonts w:ascii="Arial" w:hAnsi="Arial" w:cs="Arial"/>
          <w:sz w:val="24"/>
          <w:szCs w:val="24"/>
          <w:shd w:val="clear" w:color="auto" w:fill="FFFFFF"/>
        </w:rPr>
        <w:t>En un 15% disminuyó el déficit habitacional cuantitativo (familias que no tienen vivienda) a nivel nacional, respecto del año 2013. Sin embargo, en la región de Atacama, el déficit de vivienda  se ha mantenido constante en cerca de 10 mil viviendas y ha aumentado el número y familias que viven en campamentos en un 130,9 %.</w:t>
      </w:r>
    </w:p>
    <w:p w:rsidR="00C31DBB" w:rsidRPr="00CB7087" w:rsidRDefault="00C31DBB" w:rsidP="00CB7087">
      <w:pPr>
        <w:spacing w:line="240" w:lineRule="auto"/>
        <w:jc w:val="left"/>
        <w:rPr>
          <w:rFonts w:ascii="Arial" w:hAnsi="Arial" w:cs="Arial"/>
          <w:sz w:val="24"/>
          <w:szCs w:val="24"/>
          <w:shd w:val="clear" w:color="auto" w:fill="FFFFFF"/>
        </w:rPr>
      </w:pPr>
    </w:p>
    <w:p w:rsidR="00C31DBB" w:rsidRPr="00CB7087" w:rsidRDefault="00C31DBB" w:rsidP="00CB7087">
      <w:pPr>
        <w:spacing w:line="240" w:lineRule="auto"/>
        <w:jc w:val="left"/>
        <w:rPr>
          <w:rFonts w:ascii="Arial" w:hAnsi="Arial" w:cs="Arial"/>
          <w:sz w:val="24"/>
          <w:szCs w:val="24"/>
        </w:rPr>
      </w:pPr>
      <w:r w:rsidRPr="00CB7087">
        <w:rPr>
          <w:rFonts w:ascii="Arial" w:hAnsi="Arial" w:cs="Arial"/>
          <w:sz w:val="24"/>
          <w:szCs w:val="24"/>
          <w:shd w:val="clear" w:color="auto" w:fill="FFFFFF"/>
        </w:rPr>
        <w:lastRenderedPageBreak/>
        <w:t xml:space="preserve">2.- </w:t>
      </w:r>
      <w:r w:rsidR="004C29A6" w:rsidRPr="00CB7087">
        <w:rPr>
          <w:rFonts w:ascii="Arial" w:hAnsi="Arial" w:cs="Arial"/>
          <w:sz w:val="24"/>
          <w:szCs w:val="24"/>
          <w:shd w:val="clear" w:color="auto" w:fill="FFFFFF"/>
        </w:rPr>
        <w:t xml:space="preserve"> </w:t>
      </w:r>
      <w:r w:rsidRPr="00CB7087">
        <w:rPr>
          <w:rFonts w:ascii="Arial" w:hAnsi="Arial" w:cs="Arial"/>
          <w:sz w:val="24"/>
          <w:szCs w:val="24"/>
          <w:shd w:val="clear" w:color="auto" w:fill="FFFFFF"/>
        </w:rPr>
        <w:t xml:space="preserve">Esto nos indica que </w:t>
      </w:r>
      <w:r w:rsidRPr="00CB7087">
        <w:rPr>
          <w:rFonts w:ascii="Arial" w:hAnsi="Arial" w:cs="Arial"/>
          <w:sz w:val="24"/>
          <w:szCs w:val="24"/>
        </w:rPr>
        <w:t>las políticas públicas en materia de vivienda,  si bien han tenido avances a nivel regional, no se han adaptado al dinamismo de los requerimientos de viviendas sociales por parte de la población.</w:t>
      </w:r>
    </w:p>
    <w:p w:rsidR="00C31DBB" w:rsidRPr="00CB7087" w:rsidRDefault="00C31DBB" w:rsidP="00CB7087">
      <w:pPr>
        <w:spacing w:line="240" w:lineRule="auto"/>
        <w:jc w:val="left"/>
        <w:rPr>
          <w:rFonts w:ascii="Arial" w:hAnsi="Arial" w:cs="Arial"/>
          <w:sz w:val="24"/>
          <w:szCs w:val="24"/>
        </w:rPr>
      </w:pPr>
    </w:p>
    <w:p w:rsidR="00C31DBB" w:rsidRPr="00CB7087" w:rsidRDefault="00C31DBB" w:rsidP="00CB7087">
      <w:pPr>
        <w:spacing w:line="240" w:lineRule="auto"/>
        <w:jc w:val="left"/>
        <w:rPr>
          <w:rFonts w:ascii="Arial" w:hAnsi="Arial" w:cs="Arial"/>
          <w:sz w:val="24"/>
          <w:szCs w:val="24"/>
          <w:lang w:val="es-ES_tradnl"/>
        </w:rPr>
      </w:pPr>
      <w:r w:rsidRPr="00CB7087">
        <w:rPr>
          <w:rFonts w:ascii="Arial" w:hAnsi="Arial" w:cs="Arial"/>
          <w:sz w:val="24"/>
          <w:szCs w:val="24"/>
        </w:rPr>
        <w:t xml:space="preserve">3.- </w:t>
      </w:r>
      <w:r w:rsidRPr="00CB7087">
        <w:rPr>
          <w:rFonts w:ascii="Arial" w:hAnsi="Arial" w:cs="Arial"/>
          <w:sz w:val="24"/>
          <w:szCs w:val="24"/>
          <w:lang w:val="es-ES_tradnl"/>
        </w:rPr>
        <w:t>El Convenio de Programación para el financiamiento compartido de inversión pública en esta materia, suscrito entre el Gobierno Regional de Atacama y el MINVU, va en la línea correcta, generando una inversión de cerca de 100 mil millones de pesos para resolver las graves carencias habitacionales de la región.</w:t>
      </w:r>
    </w:p>
    <w:p w:rsidR="004C29A6" w:rsidRPr="00CB7087" w:rsidRDefault="004C29A6" w:rsidP="00CB7087">
      <w:pPr>
        <w:spacing w:line="240" w:lineRule="auto"/>
        <w:jc w:val="left"/>
        <w:rPr>
          <w:rFonts w:ascii="Arial" w:hAnsi="Arial" w:cs="Arial"/>
          <w:sz w:val="24"/>
          <w:szCs w:val="24"/>
          <w:lang w:val="es-ES_tradnl"/>
        </w:rPr>
      </w:pPr>
    </w:p>
    <w:p w:rsidR="00C31DBB" w:rsidRPr="00CB7087" w:rsidRDefault="00C31DBB" w:rsidP="00CB7087">
      <w:pPr>
        <w:spacing w:line="240" w:lineRule="auto"/>
        <w:jc w:val="left"/>
        <w:rPr>
          <w:rFonts w:ascii="Arial" w:hAnsi="Arial" w:cs="Arial"/>
          <w:sz w:val="24"/>
          <w:szCs w:val="24"/>
          <w:lang w:val="es-ES_tradnl"/>
        </w:rPr>
      </w:pPr>
      <w:r w:rsidRPr="00CB7087">
        <w:rPr>
          <w:rFonts w:ascii="Arial" w:hAnsi="Arial" w:cs="Arial"/>
          <w:sz w:val="24"/>
          <w:szCs w:val="24"/>
          <w:lang w:val="es-ES_tradnl"/>
        </w:rPr>
        <w:t xml:space="preserve">4.- </w:t>
      </w:r>
      <w:r w:rsidR="004C29A6" w:rsidRPr="00CB7087">
        <w:rPr>
          <w:rFonts w:ascii="Arial" w:hAnsi="Arial" w:cs="Arial"/>
          <w:sz w:val="24"/>
          <w:szCs w:val="24"/>
          <w:lang w:val="es-ES_tradnl"/>
        </w:rPr>
        <w:t>A través de este instrumento ya se ha financiado una cartera de 10 proyectos habitacionales, con 794 soluciones para igual número de familias, con una inversión de cerca de 23 mil millones de pesos.</w:t>
      </w:r>
    </w:p>
    <w:p w:rsidR="00F73398" w:rsidRPr="00CB7087" w:rsidRDefault="00F73398" w:rsidP="00CB7087">
      <w:pPr>
        <w:spacing w:line="240" w:lineRule="auto"/>
        <w:jc w:val="left"/>
        <w:rPr>
          <w:rFonts w:ascii="Arial" w:hAnsi="Arial" w:cs="Arial"/>
          <w:sz w:val="24"/>
          <w:szCs w:val="24"/>
          <w:lang w:val="es-ES_tradnl"/>
        </w:rPr>
      </w:pPr>
    </w:p>
    <w:p w:rsidR="00F73398" w:rsidRPr="00CB7087" w:rsidRDefault="00F73398" w:rsidP="00CB7087">
      <w:pPr>
        <w:spacing w:line="240" w:lineRule="auto"/>
        <w:jc w:val="left"/>
        <w:rPr>
          <w:rFonts w:ascii="Arial" w:hAnsi="Arial" w:cs="Arial"/>
          <w:sz w:val="24"/>
          <w:szCs w:val="24"/>
          <w:lang w:val="es-ES_tradnl"/>
        </w:rPr>
      </w:pPr>
      <w:r w:rsidRPr="00CB7087">
        <w:rPr>
          <w:rFonts w:ascii="Arial" w:hAnsi="Arial" w:cs="Arial"/>
          <w:sz w:val="24"/>
          <w:szCs w:val="24"/>
          <w:lang w:val="es-ES_tradnl"/>
        </w:rPr>
        <w:t xml:space="preserve">5.- Considerando que dicho convenio tiene aún disponibilidad financiera de cerca de </w:t>
      </w:r>
      <w:r w:rsidRPr="00CB7087">
        <w:rPr>
          <w:rFonts w:ascii="Arial" w:hAnsi="Arial" w:cs="Arial"/>
          <w:sz w:val="24"/>
          <w:szCs w:val="24"/>
          <w:lang w:val="es-CL"/>
        </w:rPr>
        <w:t xml:space="preserve">77 mil millones disponibles, descontando el listado anterior de proyectos, es imprescindible generar un Plan Habitacional Regional complementario, de manera de definir y viabilizar los proyectos habitacionales </w:t>
      </w:r>
      <w:proofErr w:type="spellStart"/>
      <w:r w:rsidRPr="00CB7087">
        <w:rPr>
          <w:rFonts w:ascii="Arial" w:hAnsi="Arial" w:cs="Arial"/>
          <w:sz w:val="24"/>
          <w:szCs w:val="24"/>
          <w:lang w:val="es-CL"/>
        </w:rPr>
        <w:t>mas</w:t>
      </w:r>
      <w:proofErr w:type="spellEnd"/>
      <w:r w:rsidRPr="00CB7087">
        <w:rPr>
          <w:rFonts w:ascii="Arial" w:hAnsi="Arial" w:cs="Arial"/>
          <w:sz w:val="24"/>
          <w:szCs w:val="24"/>
          <w:lang w:val="es-CL"/>
        </w:rPr>
        <w:t xml:space="preserve"> urgentes y relevantes que requieran las comunas afectadas.</w:t>
      </w:r>
    </w:p>
    <w:p w:rsidR="00070B54" w:rsidRPr="00CB7087" w:rsidRDefault="00070B54" w:rsidP="00CB7087">
      <w:pPr>
        <w:spacing w:line="240" w:lineRule="auto"/>
        <w:ind w:left="0" w:firstLine="0"/>
        <w:jc w:val="left"/>
        <w:rPr>
          <w:rFonts w:ascii="Arial" w:hAnsi="Arial" w:cs="Arial"/>
          <w:sz w:val="24"/>
          <w:szCs w:val="24"/>
        </w:rPr>
      </w:pPr>
    </w:p>
    <w:p w:rsidR="00E02C72" w:rsidRPr="00CB7087" w:rsidRDefault="00134B69" w:rsidP="00CB7087">
      <w:pPr>
        <w:spacing w:line="240" w:lineRule="auto"/>
        <w:jc w:val="left"/>
        <w:rPr>
          <w:rFonts w:ascii="Arial" w:hAnsi="Arial" w:cs="Arial"/>
          <w:sz w:val="24"/>
          <w:szCs w:val="24"/>
          <w:lang w:val="es-CL"/>
        </w:rPr>
      </w:pPr>
      <w:r w:rsidRPr="00CB7087">
        <w:rPr>
          <w:rFonts w:ascii="Arial" w:hAnsi="Arial" w:cs="Arial"/>
          <w:sz w:val="24"/>
          <w:szCs w:val="24"/>
          <w:lang w:val="es-CL"/>
        </w:rPr>
        <w:t xml:space="preserve">5.1.- Plan de </w:t>
      </w:r>
      <w:r w:rsidR="00491394" w:rsidRPr="00CB7087">
        <w:rPr>
          <w:rFonts w:ascii="Arial" w:hAnsi="Arial" w:cs="Arial"/>
          <w:sz w:val="24"/>
          <w:szCs w:val="24"/>
          <w:lang w:val="es-CL"/>
        </w:rPr>
        <w:t xml:space="preserve"> Diseños y Obras de Macro Urbanización de paños fiscales para la instalación posterior de vivienda</w:t>
      </w:r>
      <w:r w:rsidRPr="00CB7087">
        <w:rPr>
          <w:rFonts w:ascii="Arial" w:hAnsi="Arial" w:cs="Arial"/>
          <w:sz w:val="24"/>
          <w:szCs w:val="24"/>
          <w:lang w:val="es-CL"/>
        </w:rPr>
        <w:t>s sociales y de sectores medios;</w:t>
      </w:r>
    </w:p>
    <w:p w:rsidR="00134B69" w:rsidRPr="00CB7087" w:rsidRDefault="00134B69" w:rsidP="00CB7087">
      <w:pPr>
        <w:spacing w:line="240" w:lineRule="auto"/>
        <w:jc w:val="left"/>
        <w:rPr>
          <w:rFonts w:ascii="Arial" w:hAnsi="Arial" w:cs="Arial"/>
          <w:sz w:val="24"/>
          <w:szCs w:val="24"/>
          <w:lang w:val="es-CL"/>
        </w:rPr>
      </w:pPr>
    </w:p>
    <w:tbl>
      <w:tblPr>
        <w:tblpPr w:leftFromText="141" w:rightFromText="141" w:vertAnchor="text" w:horzAnchor="margin" w:tblpXSpec="center" w:tblpY="-46"/>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35"/>
        <w:gridCol w:w="1476"/>
        <w:gridCol w:w="1053"/>
        <w:gridCol w:w="1309"/>
        <w:gridCol w:w="1375"/>
      </w:tblGrid>
      <w:tr w:rsidR="00ED544D" w:rsidRPr="00CB7087" w:rsidTr="00ED544D">
        <w:trPr>
          <w:trHeight w:val="983"/>
        </w:trPr>
        <w:tc>
          <w:tcPr>
            <w:tcW w:w="2458" w:type="dxa"/>
            <w:shd w:val="clear" w:color="auto" w:fill="auto"/>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lastRenderedPageBreak/>
              <w:t xml:space="preserve">Terrenos a Urbanizar </w:t>
            </w:r>
          </w:p>
        </w:tc>
        <w:tc>
          <w:tcPr>
            <w:tcW w:w="1120"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 xml:space="preserve">Superficie </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 xml:space="preserve">Terreno </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w:t>
            </w:r>
            <w:proofErr w:type="spellStart"/>
            <w:r w:rsidRPr="00CB7087">
              <w:rPr>
                <w:rFonts w:ascii="Arial" w:hAnsi="Arial" w:cs="Arial"/>
                <w:b/>
                <w:sz w:val="24"/>
                <w:szCs w:val="24"/>
                <w:lang w:eastAsia="es-CL"/>
              </w:rPr>
              <w:t>Hás</w:t>
            </w:r>
            <w:proofErr w:type="spellEnd"/>
            <w:r w:rsidRPr="00CB7087">
              <w:rPr>
                <w:rFonts w:ascii="Arial" w:hAnsi="Arial" w:cs="Arial"/>
                <w:b/>
                <w:sz w:val="24"/>
                <w:szCs w:val="24"/>
                <w:lang w:eastAsia="es-CL"/>
              </w:rPr>
              <w:t>)</w:t>
            </w:r>
          </w:p>
        </w:tc>
        <w:tc>
          <w:tcPr>
            <w:tcW w:w="1155"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Propiedad</w:t>
            </w:r>
          </w:p>
        </w:tc>
        <w:tc>
          <w:tcPr>
            <w:tcW w:w="911"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Monto</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Diseño</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M$</w:t>
            </w:r>
          </w:p>
        </w:tc>
        <w:tc>
          <w:tcPr>
            <w:tcW w:w="1083"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Monto</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Ejecución</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 xml:space="preserve">M$ </w:t>
            </w:r>
          </w:p>
        </w:tc>
        <w:tc>
          <w:tcPr>
            <w:tcW w:w="1149" w:type="dxa"/>
            <w:shd w:val="clear" w:color="auto" w:fill="auto"/>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 xml:space="preserve">Total </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M$</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Llanos de la Candelaria, Copiapó </w:t>
            </w:r>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30</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Bienes</w:t>
            </w:r>
          </w:p>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Nacionales</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100.000 </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5.500.000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5.600.000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El Palomar Etapa II, Copiapó </w:t>
            </w:r>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5</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SERVIU</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30.000 </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2.500.000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2.530.00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sector 26 de Octubre II, </w:t>
            </w:r>
            <w:proofErr w:type="spellStart"/>
            <w:r w:rsidRPr="00CB7087">
              <w:rPr>
                <w:rFonts w:ascii="Arial" w:hAnsi="Arial" w:cs="Arial"/>
                <w:sz w:val="24"/>
                <w:szCs w:val="24"/>
                <w:lang w:eastAsia="es-CL"/>
              </w:rPr>
              <w:t>Chañaral</w:t>
            </w:r>
            <w:proofErr w:type="spellEnd"/>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6</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SERVIU</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100.000</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2.000.000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2.100.000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sector Torreblanca, Diego de Almagro </w:t>
            </w:r>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10</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SERVIU</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150.000</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2.000.000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2.150.000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sector </w:t>
            </w:r>
            <w:proofErr w:type="spellStart"/>
            <w:r w:rsidRPr="00CB7087">
              <w:rPr>
                <w:rFonts w:ascii="Arial" w:hAnsi="Arial" w:cs="Arial"/>
                <w:sz w:val="24"/>
                <w:szCs w:val="24"/>
                <w:lang w:eastAsia="es-CL"/>
              </w:rPr>
              <w:t>Union</w:t>
            </w:r>
            <w:proofErr w:type="spellEnd"/>
            <w:r w:rsidRPr="00CB7087">
              <w:rPr>
                <w:rFonts w:ascii="Arial" w:hAnsi="Arial" w:cs="Arial"/>
                <w:sz w:val="24"/>
                <w:szCs w:val="24"/>
                <w:lang w:eastAsia="es-CL"/>
              </w:rPr>
              <w:t xml:space="preserve"> Torreblanca, Vallenar </w:t>
            </w:r>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3</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SERVIU</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100.000</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1.500.000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1.600.000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rPr>
            </w:pPr>
            <w:proofErr w:type="spellStart"/>
            <w:r w:rsidRPr="00CB7087">
              <w:rPr>
                <w:rFonts w:ascii="Arial" w:hAnsi="Arial" w:cs="Arial"/>
                <w:sz w:val="24"/>
                <w:szCs w:val="24"/>
                <w:lang w:eastAsia="es-CL"/>
              </w:rPr>
              <w:t>Macrourbanización</w:t>
            </w:r>
            <w:proofErr w:type="spellEnd"/>
            <w:r w:rsidRPr="00CB7087">
              <w:rPr>
                <w:rFonts w:ascii="Arial" w:hAnsi="Arial" w:cs="Arial"/>
                <w:sz w:val="24"/>
                <w:szCs w:val="24"/>
                <w:lang w:eastAsia="es-CL"/>
              </w:rPr>
              <w:t xml:space="preserve"> </w:t>
            </w:r>
            <w:proofErr w:type="spellStart"/>
            <w:r w:rsidRPr="00CB7087">
              <w:rPr>
                <w:rFonts w:ascii="Arial" w:hAnsi="Arial" w:cs="Arial"/>
                <w:sz w:val="24"/>
                <w:szCs w:val="24"/>
                <w:lang w:eastAsia="es-CL"/>
              </w:rPr>
              <w:t>Huasco</w:t>
            </w:r>
            <w:proofErr w:type="spellEnd"/>
            <w:r w:rsidRPr="00CB7087">
              <w:rPr>
                <w:rFonts w:ascii="Arial" w:hAnsi="Arial" w:cs="Arial"/>
                <w:sz w:val="24"/>
                <w:szCs w:val="24"/>
                <w:lang w:eastAsia="es-CL"/>
              </w:rPr>
              <w:t xml:space="preserve"> Bajo, </w:t>
            </w:r>
            <w:proofErr w:type="spellStart"/>
            <w:r w:rsidRPr="00CB7087">
              <w:rPr>
                <w:rFonts w:ascii="Arial" w:hAnsi="Arial" w:cs="Arial"/>
                <w:sz w:val="24"/>
                <w:szCs w:val="24"/>
                <w:lang w:eastAsia="es-CL"/>
              </w:rPr>
              <w:t>Huasco</w:t>
            </w:r>
            <w:proofErr w:type="spellEnd"/>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15</w:t>
            </w:r>
          </w:p>
        </w:tc>
        <w:tc>
          <w:tcPr>
            <w:tcW w:w="1155"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MUNICIPAL</w:t>
            </w:r>
          </w:p>
        </w:tc>
        <w:tc>
          <w:tcPr>
            <w:tcW w:w="911"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100.000</w:t>
            </w:r>
          </w:p>
        </w:tc>
        <w:tc>
          <w:tcPr>
            <w:tcW w:w="1083"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1.600.000</w:t>
            </w: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1.700.000</w:t>
            </w:r>
          </w:p>
        </w:tc>
      </w:tr>
      <w:tr w:rsidR="00ED544D" w:rsidRPr="00CB7087" w:rsidTr="00ED544D">
        <w:tc>
          <w:tcPr>
            <w:tcW w:w="2458"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TOTALES</w:t>
            </w:r>
          </w:p>
        </w:tc>
        <w:tc>
          <w:tcPr>
            <w:tcW w:w="112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94</w:t>
            </w:r>
          </w:p>
        </w:tc>
        <w:tc>
          <w:tcPr>
            <w:tcW w:w="1155" w:type="dxa"/>
          </w:tcPr>
          <w:p w:rsidR="00ED544D" w:rsidRPr="00CB7087" w:rsidRDefault="00ED544D" w:rsidP="00CB7087">
            <w:pPr>
              <w:spacing w:line="240" w:lineRule="auto"/>
              <w:jc w:val="left"/>
              <w:rPr>
                <w:rFonts w:ascii="Arial" w:hAnsi="Arial" w:cs="Arial"/>
                <w:sz w:val="24"/>
                <w:szCs w:val="24"/>
                <w:lang w:eastAsia="es-CL"/>
              </w:rPr>
            </w:pPr>
          </w:p>
        </w:tc>
        <w:tc>
          <w:tcPr>
            <w:tcW w:w="911" w:type="dxa"/>
          </w:tcPr>
          <w:p w:rsidR="00ED544D" w:rsidRPr="00CB7087" w:rsidRDefault="00ED544D" w:rsidP="00CB7087">
            <w:pPr>
              <w:spacing w:line="240" w:lineRule="auto"/>
              <w:jc w:val="left"/>
              <w:rPr>
                <w:rFonts w:ascii="Arial" w:hAnsi="Arial" w:cs="Arial"/>
                <w:sz w:val="24"/>
                <w:szCs w:val="24"/>
                <w:lang w:eastAsia="es-CL"/>
              </w:rPr>
            </w:pPr>
          </w:p>
        </w:tc>
        <w:tc>
          <w:tcPr>
            <w:tcW w:w="1083" w:type="dxa"/>
          </w:tcPr>
          <w:p w:rsidR="00ED544D" w:rsidRPr="00CB7087" w:rsidRDefault="00ED544D" w:rsidP="00CB7087">
            <w:pPr>
              <w:spacing w:line="240" w:lineRule="auto"/>
              <w:jc w:val="left"/>
              <w:rPr>
                <w:rFonts w:ascii="Arial" w:hAnsi="Arial" w:cs="Arial"/>
                <w:sz w:val="24"/>
                <w:szCs w:val="24"/>
                <w:lang w:eastAsia="es-CL"/>
              </w:rPr>
            </w:pPr>
          </w:p>
        </w:tc>
        <w:tc>
          <w:tcPr>
            <w:tcW w:w="1149"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18.710.000</w:t>
            </w:r>
          </w:p>
        </w:tc>
      </w:tr>
    </w:tbl>
    <w:p w:rsidR="00134B69" w:rsidRPr="00CB7087" w:rsidRDefault="00134B69" w:rsidP="00CB7087">
      <w:pPr>
        <w:spacing w:line="240" w:lineRule="auto"/>
        <w:ind w:left="720" w:firstLine="0"/>
        <w:jc w:val="left"/>
        <w:rPr>
          <w:rFonts w:ascii="Arial" w:hAnsi="Arial" w:cs="Arial"/>
          <w:sz w:val="24"/>
          <w:szCs w:val="24"/>
        </w:rPr>
      </w:pPr>
    </w:p>
    <w:p w:rsidR="00BF455D" w:rsidRPr="00CB7087" w:rsidRDefault="00BF455D" w:rsidP="00CB7087">
      <w:pPr>
        <w:spacing w:line="240" w:lineRule="auto"/>
        <w:jc w:val="left"/>
        <w:rPr>
          <w:rFonts w:ascii="Arial" w:hAnsi="Arial" w:cs="Arial"/>
          <w:sz w:val="24"/>
          <w:szCs w:val="24"/>
          <w:lang w:val="es-CL"/>
        </w:rPr>
      </w:pPr>
      <w:r w:rsidRPr="00CB7087">
        <w:rPr>
          <w:rFonts w:ascii="Arial" w:hAnsi="Arial" w:cs="Arial"/>
          <w:sz w:val="24"/>
          <w:szCs w:val="24"/>
          <w:lang w:val="es-CL"/>
        </w:rPr>
        <w:t xml:space="preserve">5.2.- Plan de  Diseños y Obras de </w:t>
      </w:r>
      <w:proofErr w:type="spellStart"/>
      <w:r w:rsidRPr="00CB7087">
        <w:rPr>
          <w:rFonts w:ascii="Arial" w:hAnsi="Arial" w:cs="Arial"/>
          <w:sz w:val="24"/>
          <w:szCs w:val="24"/>
          <w:lang w:val="es-CL"/>
        </w:rPr>
        <w:t>de</w:t>
      </w:r>
      <w:proofErr w:type="spellEnd"/>
      <w:r w:rsidRPr="00CB7087">
        <w:rPr>
          <w:rFonts w:ascii="Arial" w:hAnsi="Arial" w:cs="Arial"/>
          <w:sz w:val="24"/>
          <w:szCs w:val="24"/>
          <w:lang w:val="es-CL"/>
        </w:rPr>
        <w:t xml:space="preserve"> V</w:t>
      </w:r>
      <w:r w:rsidR="00A56061" w:rsidRPr="00CB7087">
        <w:rPr>
          <w:rFonts w:ascii="Arial" w:hAnsi="Arial" w:cs="Arial"/>
          <w:sz w:val="24"/>
          <w:szCs w:val="24"/>
          <w:lang w:val="es-CL"/>
        </w:rPr>
        <w:t>i</w:t>
      </w:r>
      <w:r w:rsidRPr="00CB7087">
        <w:rPr>
          <w:rFonts w:ascii="Arial" w:hAnsi="Arial" w:cs="Arial"/>
          <w:sz w:val="24"/>
          <w:szCs w:val="24"/>
          <w:lang w:val="es-CL"/>
        </w:rPr>
        <w:t>viendas y Departamentos sociales y de sectores medios;</w:t>
      </w:r>
    </w:p>
    <w:p w:rsidR="00134B69" w:rsidRPr="00CB7087" w:rsidRDefault="00134B69" w:rsidP="00CB7087">
      <w:pPr>
        <w:spacing w:line="240" w:lineRule="auto"/>
        <w:ind w:left="0" w:firstLine="0"/>
        <w:jc w:val="left"/>
        <w:rPr>
          <w:rFonts w:ascii="Arial" w:hAnsi="Arial" w:cs="Arial"/>
          <w:sz w:val="24"/>
          <w:szCs w:val="24"/>
          <w:lang w:val="es-CL"/>
        </w:rPr>
      </w:pPr>
    </w:p>
    <w:p w:rsidR="00AD7502" w:rsidRPr="00CB7087" w:rsidRDefault="00AD7502" w:rsidP="00CB7087">
      <w:pPr>
        <w:spacing w:line="240" w:lineRule="auto"/>
        <w:jc w:val="left"/>
        <w:rPr>
          <w:rFonts w:ascii="Arial" w:hAnsi="Arial" w:cs="Arial"/>
          <w:sz w:val="24"/>
          <w:szCs w:val="24"/>
        </w:rPr>
      </w:pPr>
    </w:p>
    <w:tbl>
      <w:tblPr>
        <w:tblpPr w:leftFromText="141" w:rightFromText="141" w:vertAnchor="text" w:horzAnchor="margin" w:tblpXSpec="center" w:tblpY="-4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404"/>
        <w:gridCol w:w="1350"/>
      </w:tblGrid>
      <w:tr w:rsidR="00ED544D" w:rsidRPr="00CB7087" w:rsidTr="00ED544D">
        <w:trPr>
          <w:trHeight w:val="983"/>
        </w:trPr>
        <w:tc>
          <w:tcPr>
            <w:tcW w:w="3983" w:type="dxa"/>
            <w:shd w:val="clear" w:color="auto" w:fill="auto"/>
          </w:tcPr>
          <w:p w:rsidR="00ED544D" w:rsidRPr="00CB7087" w:rsidRDefault="00ED544D" w:rsidP="00CB7087">
            <w:pPr>
              <w:spacing w:line="240" w:lineRule="auto"/>
              <w:jc w:val="left"/>
              <w:rPr>
                <w:rFonts w:ascii="Arial" w:hAnsi="Arial" w:cs="Arial"/>
                <w:b/>
                <w:sz w:val="24"/>
                <w:szCs w:val="24"/>
                <w:lang w:eastAsia="es-CL"/>
              </w:rPr>
            </w:pPr>
            <w:proofErr w:type="spellStart"/>
            <w:r w:rsidRPr="00CB7087">
              <w:rPr>
                <w:rFonts w:ascii="Arial" w:hAnsi="Arial" w:cs="Arial"/>
                <w:b/>
                <w:sz w:val="24"/>
                <w:szCs w:val="24"/>
                <w:lang w:eastAsia="es-CL"/>
              </w:rPr>
              <w:t>Ejecuciòn</w:t>
            </w:r>
            <w:proofErr w:type="spellEnd"/>
            <w:r w:rsidRPr="00CB7087">
              <w:rPr>
                <w:rFonts w:ascii="Arial" w:hAnsi="Arial" w:cs="Arial"/>
                <w:b/>
                <w:sz w:val="24"/>
                <w:szCs w:val="24"/>
                <w:lang w:eastAsia="es-CL"/>
              </w:rPr>
              <w:t xml:space="preserve"> Obras Vivienda y Departamentos </w:t>
            </w:r>
          </w:p>
        </w:tc>
        <w:tc>
          <w:tcPr>
            <w:tcW w:w="1370"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Cabida</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Viviendas/</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Depto.</w:t>
            </w:r>
          </w:p>
        </w:tc>
        <w:tc>
          <w:tcPr>
            <w:tcW w:w="1276" w:type="dxa"/>
          </w:tcPr>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Monto</w:t>
            </w:r>
          </w:p>
          <w:p w:rsidR="00ED544D" w:rsidRPr="00CB7087" w:rsidRDefault="00ED544D"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Ejecución</w:t>
            </w:r>
          </w:p>
          <w:p w:rsidR="00ED544D" w:rsidRPr="00CB7087" w:rsidRDefault="00A56061" w:rsidP="00CB7087">
            <w:pPr>
              <w:spacing w:line="240" w:lineRule="auto"/>
              <w:jc w:val="left"/>
              <w:rPr>
                <w:rFonts w:ascii="Arial" w:hAnsi="Arial" w:cs="Arial"/>
                <w:b/>
                <w:sz w:val="24"/>
                <w:szCs w:val="24"/>
                <w:lang w:eastAsia="es-CL"/>
              </w:rPr>
            </w:pPr>
            <w:r w:rsidRPr="00CB7087">
              <w:rPr>
                <w:rFonts w:ascii="Arial" w:hAnsi="Arial" w:cs="Arial"/>
                <w:b/>
                <w:sz w:val="24"/>
                <w:szCs w:val="24"/>
                <w:lang w:eastAsia="es-CL"/>
              </w:rPr>
              <w:t>UF</w:t>
            </w:r>
            <w:r w:rsidR="00ED544D" w:rsidRPr="00CB7087">
              <w:rPr>
                <w:rFonts w:ascii="Arial" w:hAnsi="Arial" w:cs="Arial"/>
                <w:b/>
                <w:sz w:val="24"/>
                <w:szCs w:val="24"/>
                <w:lang w:eastAsia="es-CL"/>
              </w:rPr>
              <w:t xml:space="preserve"> </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Proyecto Llanos de la Candelaria, Copiapó </w:t>
            </w:r>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1.500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w:t>
            </w:r>
            <w:r w:rsidR="00ED544D" w:rsidRPr="00CB7087">
              <w:rPr>
                <w:rFonts w:ascii="Arial" w:hAnsi="Arial" w:cs="Arial"/>
                <w:sz w:val="24"/>
                <w:szCs w:val="24"/>
                <w:lang w:eastAsia="es-CL"/>
              </w:rPr>
              <w:t>.500.000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Proyecto  El Palomar Etapa II, Copiapó </w:t>
            </w:r>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500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w:t>
            </w:r>
            <w:r w:rsidR="00ED544D" w:rsidRPr="00CB7087">
              <w:rPr>
                <w:rFonts w:ascii="Arial" w:hAnsi="Arial" w:cs="Arial"/>
                <w:sz w:val="24"/>
                <w:szCs w:val="24"/>
                <w:lang w:eastAsia="es-CL"/>
              </w:rPr>
              <w:t>500.000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Proyecto  26 de Octubre II, </w:t>
            </w:r>
            <w:proofErr w:type="spellStart"/>
            <w:r w:rsidRPr="00CB7087">
              <w:rPr>
                <w:rFonts w:ascii="Arial" w:hAnsi="Arial" w:cs="Arial"/>
                <w:sz w:val="24"/>
                <w:szCs w:val="24"/>
                <w:lang w:eastAsia="es-CL"/>
              </w:rPr>
              <w:t>Chañaral</w:t>
            </w:r>
            <w:proofErr w:type="spellEnd"/>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500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500.000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Proyecto  Torreblanca, Diego de Almagro </w:t>
            </w:r>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600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600.000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Proyecto </w:t>
            </w:r>
            <w:proofErr w:type="spellStart"/>
            <w:r w:rsidRPr="00CB7087">
              <w:rPr>
                <w:rFonts w:ascii="Arial" w:hAnsi="Arial" w:cs="Arial"/>
                <w:sz w:val="24"/>
                <w:szCs w:val="24"/>
                <w:lang w:eastAsia="es-CL"/>
              </w:rPr>
              <w:t>Union</w:t>
            </w:r>
            <w:proofErr w:type="spellEnd"/>
            <w:r w:rsidRPr="00CB7087">
              <w:rPr>
                <w:rFonts w:ascii="Arial" w:hAnsi="Arial" w:cs="Arial"/>
                <w:sz w:val="24"/>
                <w:szCs w:val="24"/>
                <w:lang w:eastAsia="es-CL"/>
              </w:rPr>
              <w:t xml:space="preserve"> Torreblanca, Vallenar </w:t>
            </w:r>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300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3</w:t>
            </w:r>
            <w:r w:rsidR="00ED544D" w:rsidRPr="00CB7087">
              <w:rPr>
                <w:rFonts w:ascii="Arial" w:hAnsi="Arial" w:cs="Arial"/>
                <w:sz w:val="24"/>
                <w:szCs w:val="24"/>
                <w:lang w:eastAsia="es-CL"/>
              </w:rPr>
              <w:t>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rPr>
            </w:pPr>
            <w:r w:rsidRPr="00CB7087">
              <w:rPr>
                <w:rFonts w:ascii="Arial" w:hAnsi="Arial" w:cs="Arial"/>
                <w:sz w:val="24"/>
                <w:szCs w:val="24"/>
                <w:lang w:eastAsia="es-CL"/>
              </w:rPr>
              <w:t xml:space="preserve">Proyecto  </w:t>
            </w:r>
            <w:proofErr w:type="spellStart"/>
            <w:r w:rsidRPr="00CB7087">
              <w:rPr>
                <w:rFonts w:ascii="Arial" w:hAnsi="Arial" w:cs="Arial"/>
                <w:sz w:val="24"/>
                <w:szCs w:val="24"/>
                <w:lang w:eastAsia="es-CL"/>
              </w:rPr>
              <w:t>Huasco</w:t>
            </w:r>
            <w:proofErr w:type="spellEnd"/>
            <w:r w:rsidRPr="00CB7087">
              <w:rPr>
                <w:rFonts w:ascii="Arial" w:hAnsi="Arial" w:cs="Arial"/>
                <w:sz w:val="24"/>
                <w:szCs w:val="24"/>
                <w:lang w:eastAsia="es-CL"/>
              </w:rPr>
              <w:t xml:space="preserve"> Bajo, </w:t>
            </w:r>
            <w:proofErr w:type="spellStart"/>
            <w:r w:rsidRPr="00CB7087">
              <w:rPr>
                <w:rFonts w:ascii="Arial" w:hAnsi="Arial" w:cs="Arial"/>
                <w:sz w:val="24"/>
                <w:szCs w:val="24"/>
                <w:lang w:eastAsia="es-CL"/>
              </w:rPr>
              <w:t>Huasco</w:t>
            </w:r>
            <w:proofErr w:type="spellEnd"/>
          </w:p>
        </w:tc>
        <w:tc>
          <w:tcPr>
            <w:tcW w:w="1370"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1.500</w:t>
            </w:r>
          </w:p>
        </w:tc>
        <w:tc>
          <w:tcPr>
            <w:tcW w:w="1276" w:type="dxa"/>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1.</w:t>
            </w:r>
            <w:r w:rsidR="00A56061" w:rsidRPr="00CB7087">
              <w:rPr>
                <w:rFonts w:ascii="Arial" w:hAnsi="Arial" w:cs="Arial"/>
                <w:sz w:val="24"/>
                <w:szCs w:val="24"/>
                <w:lang w:eastAsia="es-CL"/>
              </w:rPr>
              <w:t>5</w:t>
            </w:r>
            <w:r w:rsidRPr="00CB7087">
              <w:rPr>
                <w:rFonts w:ascii="Arial" w:hAnsi="Arial" w:cs="Arial"/>
                <w:sz w:val="24"/>
                <w:szCs w:val="24"/>
                <w:lang w:eastAsia="es-CL"/>
              </w:rPr>
              <w:t>00.000</w:t>
            </w:r>
          </w:p>
        </w:tc>
      </w:tr>
      <w:tr w:rsidR="00ED544D" w:rsidRPr="00CB7087" w:rsidTr="00ED544D">
        <w:tc>
          <w:tcPr>
            <w:tcW w:w="3983" w:type="dxa"/>
            <w:shd w:val="clear" w:color="auto" w:fill="auto"/>
          </w:tcPr>
          <w:p w:rsidR="00ED544D" w:rsidRPr="00CB7087" w:rsidRDefault="00ED544D"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lastRenderedPageBreak/>
              <w:t xml:space="preserve"> TOTALES</w:t>
            </w:r>
          </w:p>
        </w:tc>
        <w:tc>
          <w:tcPr>
            <w:tcW w:w="1370"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 xml:space="preserve">       4.900</w:t>
            </w:r>
          </w:p>
        </w:tc>
        <w:tc>
          <w:tcPr>
            <w:tcW w:w="1276" w:type="dxa"/>
          </w:tcPr>
          <w:p w:rsidR="00ED544D" w:rsidRPr="00CB7087" w:rsidRDefault="00A56061" w:rsidP="00CB7087">
            <w:pPr>
              <w:spacing w:line="240" w:lineRule="auto"/>
              <w:jc w:val="left"/>
              <w:rPr>
                <w:rFonts w:ascii="Arial" w:hAnsi="Arial" w:cs="Arial"/>
                <w:sz w:val="24"/>
                <w:szCs w:val="24"/>
                <w:lang w:eastAsia="es-CL"/>
              </w:rPr>
            </w:pPr>
            <w:r w:rsidRPr="00CB7087">
              <w:rPr>
                <w:rFonts w:ascii="Arial" w:hAnsi="Arial" w:cs="Arial"/>
                <w:sz w:val="24"/>
                <w:szCs w:val="24"/>
                <w:lang w:eastAsia="es-CL"/>
              </w:rPr>
              <w:t>4.900.000</w:t>
            </w:r>
          </w:p>
        </w:tc>
      </w:tr>
    </w:tbl>
    <w:p w:rsidR="003F39ED" w:rsidRPr="00CB7087" w:rsidRDefault="003F39ED"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B7087" w:rsidP="00CB7087">
      <w:pPr>
        <w:spacing w:line="240" w:lineRule="auto"/>
        <w:jc w:val="left"/>
        <w:rPr>
          <w:rFonts w:ascii="Arial" w:hAnsi="Arial" w:cs="Arial"/>
          <w:sz w:val="24"/>
          <w:szCs w:val="24"/>
        </w:rPr>
      </w:pPr>
      <w:r>
        <w:rPr>
          <w:rFonts w:ascii="Arial" w:hAnsi="Arial" w:cs="Arial"/>
          <w:sz w:val="24"/>
          <w:szCs w:val="24"/>
        </w:rPr>
        <w:t xml:space="preserve">(*) </w:t>
      </w:r>
      <w:r w:rsidR="008E0B70">
        <w:rPr>
          <w:rFonts w:ascii="Arial" w:hAnsi="Arial" w:cs="Arial"/>
          <w:sz w:val="24"/>
          <w:szCs w:val="24"/>
        </w:rPr>
        <w:t>Ingeniero Comercial; licenciado en Ciencias de la Adminidtración</w:t>
      </w:r>
      <w:bookmarkStart w:id="0" w:name="_GoBack"/>
      <w:bookmarkEnd w:id="0"/>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C23E82" w:rsidRPr="00CB7087" w:rsidRDefault="00C23E82" w:rsidP="00CB7087">
      <w:pPr>
        <w:spacing w:line="240" w:lineRule="auto"/>
        <w:jc w:val="left"/>
        <w:rPr>
          <w:rFonts w:ascii="Arial" w:hAnsi="Arial" w:cs="Arial"/>
          <w:sz w:val="24"/>
          <w:szCs w:val="24"/>
        </w:rPr>
      </w:pPr>
    </w:p>
    <w:p w:rsidR="003F39ED" w:rsidRPr="00CB7087" w:rsidRDefault="003F39ED" w:rsidP="00CB7087">
      <w:pPr>
        <w:spacing w:line="240" w:lineRule="auto"/>
        <w:jc w:val="left"/>
        <w:rPr>
          <w:rFonts w:ascii="Arial" w:hAnsi="Arial" w:cs="Arial"/>
          <w:sz w:val="24"/>
          <w:szCs w:val="24"/>
        </w:rPr>
      </w:pPr>
    </w:p>
    <w:sectPr w:rsidR="003F39ED" w:rsidRPr="00CB7087" w:rsidSect="00961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3C5"/>
    <w:multiLevelType w:val="hybridMultilevel"/>
    <w:tmpl w:val="3E5A918A"/>
    <w:lvl w:ilvl="0" w:tplc="D56ABC9A">
      <w:start w:val="1"/>
      <w:numFmt w:val="decimal"/>
      <w:lvlText w:val="%1."/>
      <w:lvlJc w:val="left"/>
      <w:pPr>
        <w:tabs>
          <w:tab w:val="num" w:pos="644"/>
        </w:tabs>
        <w:ind w:left="644" w:hanging="360"/>
      </w:pPr>
    </w:lvl>
    <w:lvl w:ilvl="1" w:tplc="D6D89556" w:tentative="1">
      <w:start w:val="1"/>
      <w:numFmt w:val="decimal"/>
      <w:lvlText w:val="%2."/>
      <w:lvlJc w:val="left"/>
      <w:pPr>
        <w:tabs>
          <w:tab w:val="num" w:pos="1364"/>
        </w:tabs>
        <w:ind w:left="1364" w:hanging="360"/>
      </w:pPr>
    </w:lvl>
    <w:lvl w:ilvl="2" w:tplc="83A86BDE" w:tentative="1">
      <w:start w:val="1"/>
      <w:numFmt w:val="decimal"/>
      <w:lvlText w:val="%3."/>
      <w:lvlJc w:val="left"/>
      <w:pPr>
        <w:tabs>
          <w:tab w:val="num" w:pos="2084"/>
        </w:tabs>
        <w:ind w:left="2084" w:hanging="360"/>
      </w:pPr>
    </w:lvl>
    <w:lvl w:ilvl="3" w:tplc="BE92647C" w:tentative="1">
      <w:start w:val="1"/>
      <w:numFmt w:val="decimal"/>
      <w:lvlText w:val="%4."/>
      <w:lvlJc w:val="left"/>
      <w:pPr>
        <w:tabs>
          <w:tab w:val="num" w:pos="2804"/>
        </w:tabs>
        <w:ind w:left="2804" w:hanging="360"/>
      </w:pPr>
    </w:lvl>
    <w:lvl w:ilvl="4" w:tplc="5BA07F86" w:tentative="1">
      <w:start w:val="1"/>
      <w:numFmt w:val="decimal"/>
      <w:lvlText w:val="%5."/>
      <w:lvlJc w:val="left"/>
      <w:pPr>
        <w:tabs>
          <w:tab w:val="num" w:pos="3524"/>
        </w:tabs>
        <w:ind w:left="3524" w:hanging="360"/>
      </w:pPr>
    </w:lvl>
    <w:lvl w:ilvl="5" w:tplc="A64A0FFE" w:tentative="1">
      <w:start w:val="1"/>
      <w:numFmt w:val="decimal"/>
      <w:lvlText w:val="%6."/>
      <w:lvlJc w:val="left"/>
      <w:pPr>
        <w:tabs>
          <w:tab w:val="num" w:pos="4244"/>
        </w:tabs>
        <w:ind w:left="4244" w:hanging="360"/>
      </w:pPr>
    </w:lvl>
    <w:lvl w:ilvl="6" w:tplc="C18CA034" w:tentative="1">
      <w:start w:val="1"/>
      <w:numFmt w:val="decimal"/>
      <w:lvlText w:val="%7."/>
      <w:lvlJc w:val="left"/>
      <w:pPr>
        <w:tabs>
          <w:tab w:val="num" w:pos="4964"/>
        </w:tabs>
        <w:ind w:left="4964" w:hanging="360"/>
      </w:pPr>
    </w:lvl>
    <w:lvl w:ilvl="7" w:tplc="8A36D4D6" w:tentative="1">
      <w:start w:val="1"/>
      <w:numFmt w:val="decimal"/>
      <w:lvlText w:val="%8."/>
      <w:lvlJc w:val="left"/>
      <w:pPr>
        <w:tabs>
          <w:tab w:val="num" w:pos="5684"/>
        </w:tabs>
        <w:ind w:left="5684" w:hanging="360"/>
      </w:pPr>
    </w:lvl>
    <w:lvl w:ilvl="8" w:tplc="B5F4D7CA" w:tentative="1">
      <w:start w:val="1"/>
      <w:numFmt w:val="decimal"/>
      <w:lvlText w:val="%9."/>
      <w:lvlJc w:val="left"/>
      <w:pPr>
        <w:tabs>
          <w:tab w:val="num" w:pos="6404"/>
        </w:tabs>
        <w:ind w:left="6404" w:hanging="360"/>
      </w:pPr>
    </w:lvl>
  </w:abstractNum>
  <w:abstractNum w:abstractNumId="1">
    <w:nsid w:val="4FEE1C63"/>
    <w:multiLevelType w:val="hybridMultilevel"/>
    <w:tmpl w:val="22AEC5CA"/>
    <w:lvl w:ilvl="0" w:tplc="651423EE">
      <w:start w:val="1"/>
      <w:numFmt w:val="bullet"/>
      <w:lvlText w:val="-"/>
      <w:lvlJc w:val="left"/>
      <w:pPr>
        <w:tabs>
          <w:tab w:val="num" w:pos="720"/>
        </w:tabs>
        <w:ind w:left="720" w:hanging="360"/>
      </w:pPr>
      <w:rPr>
        <w:rFonts w:ascii="Times New Roman" w:hAnsi="Times New Roman" w:hint="default"/>
      </w:rPr>
    </w:lvl>
    <w:lvl w:ilvl="1" w:tplc="E9563F3C" w:tentative="1">
      <w:start w:val="1"/>
      <w:numFmt w:val="bullet"/>
      <w:lvlText w:val="-"/>
      <w:lvlJc w:val="left"/>
      <w:pPr>
        <w:tabs>
          <w:tab w:val="num" w:pos="1440"/>
        </w:tabs>
        <w:ind w:left="1440" w:hanging="360"/>
      </w:pPr>
      <w:rPr>
        <w:rFonts w:ascii="Times New Roman" w:hAnsi="Times New Roman" w:hint="default"/>
      </w:rPr>
    </w:lvl>
    <w:lvl w:ilvl="2" w:tplc="6AEE9C40" w:tentative="1">
      <w:start w:val="1"/>
      <w:numFmt w:val="bullet"/>
      <w:lvlText w:val="-"/>
      <w:lvlJc w:val="left"/>
      <w:pPr>
        <w:tabs>
          <w:tab w:val="num" w:pos="2160"/>
        </w:tabs>
        <w:ind w:left="2160" w:hanging="360"/>
      </w:pPr>
      <w:rPr>
        <w:rFonts w:ascii="Times New Roman" w:hAnsi="Times New Roman" w:hint="default"/>
      </w:rPr>
    </w:lvl>
    <w:lvl w:ilvl="3" w:tplc="ED2444AE" w:tentative="1">
      <w:start w:val="1"/>
      <w:numFmt w:val="bullet"/>
      <w:lvlText w:val="-"/>
      <w:lvlJc w:val="left"/>
      <w:pPr>
        <w:tabs>
          <w:tab w:val="num" w:pos="2880"/>
        </w:tabs>
        <w:ind w:left="2880" w:hanging="360"/>
      </w:pPr>
      <w:rPr>
        <w:rFonts w:ascii="Times New Roman" w:hAnsi="Times New Roman" w:hint="default"/>
      </w:rPr>
    </w:lvl>
    <w:lvl w:ilvl="4" w:tplc="546E8436" w:tentative="1">
      <w:start w:val="1"/>
      <w:numFmt w:val="bullet"/>
      <w:lvlText w:val="-"/>
      <w:lvlJc w:val="left"/>
      <w:pPr>
        <w:tabs>
          <w:tab w:val="num" w:pos="3600"/>
        </w:tabs>
        <w:ind w:left="3600" w:hanging="360"/>
      </w:pPr>
      <w:rPr>
        <w:rFonts w:ascii="Times New Roman" w:hAnsi="Times New Roman" w:hint="default"/>
      </w:rPr>
    </w:lvl>
    <w:lvl w:ilvl="5" w:tplc="7DA24686" w:tentative="1">
      <w:start w:val="1"/>
      <w:numFmt w:val="bullet"/>
      <w:lvlText w:val="-"/>
      <w:lvlJc w:val="left"/>
      <w:pPr>
        <w:tabs>
          <w:tab w:val="num" w:pos="4320"/>
        </w:tabs>
        <w:ind w:left="4320" w:hanging="360"/>
      </w:pPr>
      <w:rPr>
        <w:rFonts w:ascii="Times New Roman" w:hAnsi="Times New Roman" w:hint="default"/>
      </w:rPr>
    </w:lvl>
    <w:lvl w:ilvl="6" w:tplc="07FA6BF2" w:tentative="1">
      <w:start w:val="1"/>
      <w:numFmt w:val="bullet"/>
      <w:lvlText w:val="-"/>
      <w:lvlJc w:val="left"/>
      <w:pPr>
        <w:tabs>
          <w:tab w:val="num" w:pos="5040"/>
        </w:tabs>
        <w:ind w:left="5040" w:hanging="360"/>
      </w:pPr>
      <w:rPr>
        <w:rFonts w:ascii="Times New Roman" w:hAnsi="Times New Roman" w:hint="default"/>
      </w:rPr>
    </w:lvl>
    <w:lvl w:ilvl="7" w:tplc="A7E0C3DE" w:tentative="1">
      <w:start w:val="1"/>
      <w:numFmt w:val="bullet"/>
      <w:lvlText w:val="-"/>
      <w:lvlJc w:val="left"/>
      <w:pPr>
        <w:tabs>
          <w:tab w:val="num" w:pos="5760"/>
        </w:tabs>
        <w:ind w:left="5760" w:hanging="360"/>
      </w:pPr>
      <w:rPr>
        <w:rFonts w:ascii="Times New Roman" w:hAnsi="Times New Roman" w:hint="default"/>
      </w:rPr>
    </w:lvl>
    <w:lvl w:ilvl="8" w:tplc="B82C071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02"/>
    <w:rsid w:val="00070B54"/>
    <w:rsid w:val="000A1779"/>
    <w:rsid w:val="000D7877"/>
    <w:rsid w:val="001000F1"/>
    <w:rsid w:val="00134B69"/>
    <w:rsid w:val="00257066"/>
    <w:rsid w:val="0025763B"/>
    <w:rsid w:val="00262120"/>
    <w:rsid w:val="00362F33"/>
    <w:rsid w:val="003977AB"/>
    <w:rsid w:val="003F39ED"/>
    <w:rsid w:val="00491394"/>
    <w:rsid w:val="00492976"/>
    <w:rsid w:val="004C29A6"/>
    <w:rsid w:val="00606268"/>
    <w:rsid w:val="00762B2D"/>
    <w:rsid w:val="008E0B70"/>
    <w:rsid w:val="008F0866"/>
    <w:rsid w:val="00961187"/>
    <w:rsid w:val="00A56061"/>
    <w:rsid w:val="00A668D3"/>
    <w:rsid w:val="00AD7502"/>
    <w:rsid w:val="00B332A4"/>
    <w:rsid w:val="00BC41F0"/>
    <w:rsid w:val="00BF455D"/>
    <w:rsid w:val="00C101DA"/>
    <w:rsid w:val="00C23E82"/>
    <w:rsid w:val="00C31DBB"/>
    <w:rsid w:val="00CB7087"/>
    <w:rsid w:val="00CD6F4B"/>
    <w:rsid w:val="00D634CA"/>
    <w:rsid w:val="00E02C72"/>
    <w:rsid w:val="00EB4311"/>
    <w:rsid w:val="00ED0EA2"/>
    <w:rsid w:val="00ED544D"/>
    <w:rsid w:val="00F73398"/>
    <w:rsid w:val="00FD3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502"/>
    <w:rPr>
      <w:rFonts w:ascii="Tahoma" w:hAnsi="Tahoma" w:cs="Tahoma"/>
      <w:sz w:val="16"/>
      <w:szCs w:val="16"/>
    </w:rPr>
  </w:style>
  <w:style w:type="paragraph" w:customStyle="1" w:styleId="Default">
    <w:name w:val="Default"/>
    <w:basedOn w:val="Normal"/>
    <w:uiPriority w:val="99"/>
    <w:rsid w:val="003F39ED"/>
    <w:pPr>
      <w:autoSpaceDE w:val="0"/>
      <w:autoSpaceDN w:val="0"/>
      <w:spacing w:line="240" w:lineRule="auto"/>
      <w:ind w:left="0" w:firstLine="0"/>
      <w:jc w:val="left"/>
    </w:pPr>
    <w:rPr>
      <w:rFonts w:ascii="Arial" w:hAnsi="Arial" w:cs="Arial"/>
      <w:color w:val="000000"/>
      <w:sz w:val="24"/>
      <w:szCs w:val="24"/>
      <w:lang w:eastAsia="es-CL"/>
    </w:rPr>
  </w:style>
  <w:style w:type="paragraph" w:styleId="Prrafodelista">
    <w:name w:val="List Paragraph"/>
    <w:basedOn w:val="Normal"/>
    <w:uiPriority w:val="34"/>
    <w:qFormat/>
    <w:rsid w:val="003F39ED"/>
    <w:pPr>
      <w:ind w:left="720"/>
      <w:contextualSpacing/>
    </w:pPr>
  </w:style>
  <w:style w:type="paragraph" w:styleId="NormalWeb">
    <w:name w:val="Normal (Web)"/>
    <w:basedOn w:val="Normal"/>
    <w:uiPriority w:val="99"/>
    <w:semiHidden/>
    <w:unhideWhenUsed/>
    <w:rsid w:val="00EB431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634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502"/>
    <w:rPr>
      <w:rFonts w:ascii="Tahoma" w:hAnsi="Tahoma" w:cs="Tahoma"/>
      <w:sz w:val="16"/>
      <w:szCs w:val="16"/>
    </w:rPr>
  </w:style>
  <w:style w:type="paragraph" w:customStyle="1" w:styleId="Default">
    <w:name w:val="Default"/>
    <w:basedOn w:val="Normal"/>
    <w:uiPriority w:val="99"/>
    <w:rsid w:val="003F39ED"/>
    <w:pPr>
      <w:autoSpaceDE w:val="0"/>
      <w:autoSpaceDN w:val="0"/>
      <w:spacing w:line="240" w:lineRule="auto"/>
      <w:ind w:left="0" w:firstLine="0"/>
      <w:jc w:val="left"/>
    </w:pPr>
    <w:rPr>
      <w:rFonts w:ascii="Arial" w:hAnsi="Arial" w:cs="Arial"/>
      <w:color w:val="000000"/>
      <w:sz w:val="24"/>
      <w:szCs w:val="24"/>
      <w:lang w:eastAsia="es-CL"/>
    </w:rPr>
  </w:style>
  <w:style w:type="paragraph" w:styleId="Prrafodelista">
    <w:name w:val="List Paragraph"/>
    <w:basedOn w:val="Normal"/>
    <w:uiPriority w:val="34"/>
    <w:qFormat/>
    <w:rsid w:val="003F39ED"/>
    <w:pPr>
      <w:ind w:left="720"/>
      <w:contextualSpacing/>
    </w:pPr>
  </w:style>
  <w:style w:type="paragraph" w:styleId="NormalWeb">
    <w:name w:val="Normal (Web)"/>
    <w:basedOn w:val="Normal"/>
    <w:uiPriority w:val="99"/>
    <w:semiHidden/>
    <w:unhideWhenUsed/>
    <w:rsid w:val="00EB431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634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581">
      <w:bodyDiv w:val="1"/>
      <w:marLeft w:val="0"/>
      <w:marRight w:val="0"/>
      <w:marTop w:val="0"/>
      <w:marBottom w:val="0"/>
      <w:divBdr>
        <w:top w:val="none" w:sz="0" w:space="0" w:color="auto"/>
        <w:left w:val="none" w:sz="0" w:space="0" w:color="auto"/>
        <w:bottom w:val="none" w:sz="0" w:space="0" w:color="auto"/>
        <w:right w:val="none" w:sz="0" w:space="0" w:color="auto"/>
      </w:divBdr>
      <w:divsChild>
        <w:div w:id="1481921480">
          <w:marLeft w:val="274"/>
          <w:marRight w:val="0"/>
          <w:marTop w:val="58"/>
          <w:marBottom w:val="0"/>
          <w:divBdr>
            <w:top w:val="none" w:sz="0" w:space="0" w:color="auto"/>
            <w:left w:val="none" w:sz="0" w:space="0" w:color="auto"/>
            <w:bottom w:val="none" w:sz="0" w:space="0" w:color="auto"/>
            <w:right w:val="none" w:sz="0" w:space="0" w:color="auto"/>
          </w:divBdr>
        </w:div>
        <w:div w:id="1323192946">
          <w:marLeft w:val="274"/>
          <w:marRight w:val="0"/>
          <w:marTop w:val="58"/>
          <w:marBottom w:val="0"/>
          <w:divBdr>
            <w:top w:val="none" w:sz="0" w:space="0" w:color="auto"/>
            <w:left w:val="none" w:sz="0" w:space="0" w:color="auto"/>
            <w:bottom w:val="none" w:sz="0" w:space="0" w:color="auto"/>
            <w:right w:val="none" w:sz="0" w:space="0" w:color="auto"/>
          </w:divBdr>
        </w:div>
        <w:div w:id="201676650">
          <w:marLeft w:val="274"/>
          <w:marRight w:val="0"/>
          <w:marTop w:val="58"/>
          <w:marBottom w:val="0"/>
          <w:divBdr>
            <w:top w:val="none" w:sz="0" w:space="0" w:color="auto"/>
            <w:left w:val="none" w:sz="0" w:space="0" w:color="auto"/>
            <w:bottom w:val="none" w:sz="0" w:space="0" w:color="auto"/>
            <w:right w:val="none" w:sz="0" w:space="0" w:color="auto"/>
          </w:divBdr>
        </w:div>
        <w:div w:id="589387765">
          <w:marLeft w:val="274"/>
          <w:marRight w:val="0"/>
          <w:marTop w:val="58"/>
          <w:marBottom w:val="0"/>
          <w:divBdr>
            <w:top w:val="none" w:sz="0" w:space="0" w:color="auto"/>
            <w:left w:val="none" w:sz="0" w:space="0" w:color="auto"/>
            <w:bottom w:val="none" w:sz="0" w:space="0" w:color="auto"/>
            <w:right w:val="none" w:sz="0" w:space="0" w:color="auto"/>
          </w:divBdr>
        </w:div>
      </w:divsChild>
    </w:div>
    <w:div w:id="304353744">
      <w:bodyDiv w:val="1"/>
      <w:marLeft w:val="0"/>
      <w:marRight w:val="0"/>
      <w:marTop w:val="0"/>
      <w:marBottom w:val="0"/>
      <w:divBdr>
        <w:top w:val="none" w:sz="0" w:space="0" w:color="auto"/>
        <w:left w:val="none" w:sz="0" w:space="0" w:color="auto"/>
        <w:bottom w:val="none" w:sz="0" w:space="0" w:color="auto"/>
        <w:right w:val="none" w:sz="0" w:space="0" w:color="auto"/>
      </w:divBdr>
    </w:div>
    <w:div w:id="339814117">
      <w:bodyDiv w:val="1"/>
      <w:marLeft w:val="0"/>
      <w:marRight w:val="0"/>
      <w:marTop w:val="0"/>
      <w:marBottom w:val="0"/>
      <w:divBdr>
        <w:top w:val="none" w:sz="0" w:space="0" w:color="auto"/>
        <w:left w:val="none" w:sz="0" w:space="0" w:color="auto"/>
        <w:bottom w:val="none" w:sz="0" w:space="0" w:color="auto"/>
        <w:right w:val="none" w:sz="0" w:space="0" w:color="auto"/>
      </w:divBdr>
    </w:div>
    <w:div w:id="343870742">
      <w:bodyDiv w:val="1"/>
      <w:marLeft w:val="0"/>
      <w:marRight w:val="0"/>
      <w:marTop w:val="0"/>
      <w:marBottom w:val="0"/>
      <w:divBdr>
        <w:top w:val="none" w:sz="0" w:space="0" w:color="auto"/>
        <w:left w:val="none" w:sz="0" w:space="0" w:color="auto"/>
        <w:bottom w:val="none" w:sz="0" w:space="0" w:color="auto"/>
        <w:right w:val="none" w:sz="0" w:space="0" w:color="auto"/>
      </w:divBdr>
    </w:div>
    <w:div w:id="802428483">
      <w:bodyDiv w:val="1"/>
      <w:marLeft w:val="0"/>
      <w:marRight w:val="0"/>
      <w:marTop w:val="0"/>
      <w:marBottom w:val="0"/>
      <w:divBdr>
        <w:top w:val="none" w:sz="0" w:space="0" w:color="auto"/>
        <w:left w:val="none" w:sz="0" w:space="0" w:color="auto"/>
        <w:bottom w:val="none" w:sz="0" w:space="0" w:color="auto"/>
        <w:right w:val="none" w:sz="0" w:space="0" w:color="auto"/>
      </w:divBdr>
    </w:div>
    <w:div w:id="1296568468">
      <w:bodyDiv w:val="1"/>
      <w:marLeft w:val="0"/>
      <w:marRight w:val="0"/>
      <w:marTop w:val="0"/>
      <w:marBottom w:val="0"/>
      <w:divBdr>
        <w:top w:val="none" w:sz="0" w:space="0" w:color="auto"/>
        <w:left w:val="none" w:sz="0" w:space="0" w:color="auto"/>
        <w:bottom w:val="none" w:sz="0" w:space="0" w:color="auto"/>
        <w:right w:val="none" w:sz="0" w:space="0" w:color="auto"/>
      </w:divBdr>
    </w:div>
    <w:div w:id="1300455800">
      <w:bodyDiv w:val="1"/>
      <w:marLeft w:val="0"/>
      <w:marRight w:val="0"/>
      <w:marTop w:val="0"/>
      <w:marBottom w:val="0"/>
      <w:divBdr>
        <w:top w:val="none" w:sz="0" w:space="0" w:color="auto"/>
        <w:left w:val="none" w:sz="0" w:space="0" w:color="auto"/>
        <w:bottom w:val="none" w:sz="0" w:space="0" w:color="auto"/>
        <w:right w:val="none" w:sz="0" w:space="0" w:color="auto"/>
      </w:divBdr>
    </w:div>
    <w:div w:id="1342703721">
      <w:bodyDiv w:val="1"/>
      <w:marLeft w:val="0"/>
      <w:marRight w:val="0"/>
      <w:marTop w:val="0"/>
      <w:marBottom w:val="0"/>
      <w:divBdr>
        <w:top w:val="none" w:sz="0" w:space="0" w:color="auto"/>
        <w:left w:val="none" w:sz="0" w:space="0" w:color="auto"/>
        <w:bottom w:val="none" w:sz="0" w:space="0" w:color="auto"/>
        <w:right w:val="none" w:sz="0" w:space="0" w:color="auto"/>
      </w:divBdr>
      <w:divsChild>
        <w:div w:id="1805275266">
          <w:marLeft w:val="547"/>
          <w:marRight w:val="0"/>
          <w:marTop w:val="62"/>
          <w:marBottom w:val="0"/>
          <w:divBdr>
            <w:top w:val="none" w:sz="0" w:space="0" w:color="auto"/>
            <w:left w:val="none" w:sz="0" w:space="0" w:color="auto"/>
            <w:bottom w:val="none" w:sz="0" w:space="0" w:color="auto"/>
            <w:right w:val="none" w:sz="0" w:space="0" w:color="auto"/>
          </w:divBdr>
        </w:div>
        <w:div w:id="465583070">
          <w:marLeft w:val="547"/>
          <w:marRight w:val="0"/>
          <w:marTop w:val="62"/>
          <w:marBottom w:val="0"/>
          <w:divBdr>
            <w:top w:val="none" w:sz="0" w:space="0" w:color="auto"/>
            <w:left w:val="none" w:sz="0" w:space="0" w:color="auto"/>
            <w:bottom w:val="none" w:sz="0" w:space="0" w:color="auto"/>
            <w:right w:val="none" w:sz="0" w:space="0" w:color="auto"/>
          </w:divBdr>
        </w:div>
        <w:div w:id="1241406085">
          <w:marLeft w:val="547"/>
          <w:marRight w:val="0"/>
          <w:marTop w:val="62"/>
          <w:marBottom w:val="0"/>
          <w:divBdr>
            <w:top w:val="none" w:sz="0" w:space="0" w:color="auto"/>
            <w:left w:val="none" w:sz="0" w:space="0" w:color="auto"/>
            <w:bottom w:val="none" w:sz="0" w:space="0" w:color="auto"/>
            <w:right w:val="none" w:sz="0" w:space="0" w:color="auto"/>
          </w:divBdr>
        </w:div>
      </w:divsChild>
    </w:div>
    <w:div w:id="18351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EA810-EDE3-4907-BECB-62B79293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1617</Words>
  <Characters>8896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francisco</cp:lastModifiedBy>
  <cp:revision>3</cp:revision>
  <dcterms:created xsi:type="dcterms:W3CDTF">2017-10-08T23:08:00Z</dcterms:created>
  <dcterms:modified xsi:type="dcterms:W3CDTF">2017-11-06T02:56:00Z</dcterms:modified>
</cp:coreProperties>
</file>